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97" w:rsidRPr="00A724FF" w:rsidRDefault="004C76A7" w:rsidP="004C76A7">
      <w:pPr>
        <w:rPr>
          <w:sz w:val="12"/>
        </w:rPr>
      </w:pPr>
      <w:r w:rsidRPr="00A724FF">
        <w:rPr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8F934A2" wp14:editId="7B64FE8B">
                <wp:simplePos x="0" y="0"/>
                <wp:positionH relativeFrom="page">
                  <wp:posOffset>6767830</wp:posOffset>
                </wp:positionH>
                <wp:positionV relativeFrom="page">
                  <wp:posOffset>10079990</wp:posOffset>
                </wp:positionV>
                <wp:extent cx="647700" cy="396240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6A7" w:rsidRPr="00AA36BA" w:rsidRDefault="004C76A7" w:rsidP="004C76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AA36BA"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32.9pt;margin-top:793.7pt;width:51pt;height:31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eQtQIAALg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" o:allowincell="f" filled="f" stroked="f">
                <v:textbox>
                  <w:txbxContent>
                    <w:p w:rsidR="004C76A7" w:rsidRPr="00AA36BA" w:rsidRDefault="004C76A7" w:rsidP="004C76A7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AA36BA">
                        <w:rPr>
                          <w:rFonts w:ascii="Arial" w:hAnsi="Arial"/>
                          <w:b/>
                          <w:sz w:val="48"/>
                        </w:rPr>
                        <w:t>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724FF">
        <w:rPr>
          <w:lang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C861693" wp14:editId="6F1CFDCF">
                <wp:simplePos x="0" y="0"/>
                <wp:positionH relativeFrom="page">
                  <wp:posOffset>816610</wp:posOffset>
                </wp:positionH>
                <wp:positionV relativeFrom="page">
                  <wp:posOffset>10079990</wp:posOffset>
                </wp:positionV>
                <wp:extent cx="6036945" cy="8096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D97" w:rsidRPr="00AA36BA" w:rsidRDefault="00465D97" w:rsidP="009F1861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AA36BA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 — Rue Belliard/Belliardstraat 101 — 1040 Bruxelles/Brussel — BELGIQUE/BELGIË —</w:t>
                            </w:r>
                          </w:p>
                          <w:p w:rsidR="00465D97" w:rsidRPr="00AA36BA" w:rsidRDefault="00465D97" w:rsidP="009F1861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AA36BA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Tel. +32 22822211 — Fax +32 22822325 — Internet: </w:t>
                            </w:r>
                            <w:hyperlink r:id="rId13">
                              <w:r w:rsidRPr="00AA36BA">
                                <w:rPr>
                                  <w:rStyle w:val="Hyperlink"/>
                                  <w:rFonts w:ascii="Garamond" w:hAnsi="Garamond"/>
                                  <w:b/>
                                  <w:sz w:val="20"/>
                                </w:rPr>
                                <w:t>http://www.cor.europa.eu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4.3pt;margin-top:793.7pt;width:475.3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" o:allowincell="f" filled="f" stroked="f">
                <v:textbox>
                  <w:txbxContent>
                    <w:p w:rsidR="00465D97" w:rsidRPr="00AA36BA" w:rsidRDefault="00465D97" w:rsidP="009F1861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 xml:space="preserve"> — </w:t>
                      </w:r>
                      <w:proofErr w:type="spellStart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Rue</w:t>
                      </w:r>
                      <w:proofErr w:type="spellEnd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Belliard</w:t>
                      </w:r>
                      <w:proofErr w:type="spellEnd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/</w:t>
                      </w:r>
                      <w:proofErr w:type="spellStart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Belliardstraat</w:t>
                      </w:r>
                      <w:proofErr w:type="spellEnd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 xml:space="preserve"> 101 — 1040 </w:t>
                      </w:r>
                      <w:proofErr w:type="spellStart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Bruxelles</w:t>
                      </w:r>
                      <w:proofErr w:type="spellEnd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/Brussel — BELGIQUE/</w:t>
                      </w:r>
                      <w:proofErr w:type="spellStart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BELGIË</w:t>
                      </w:r>
                      <w:proofErr w:type="spellEnd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 xml:space="preserve"> —</w:t>
                      </w:r>
                    </w:p>
                    <w:p w:rsidR="00465D97" w:rsidRPr="00AA36BA" w:rsidRDefault="00465D97" w:rsidP="009F1861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 xml:space="preserve">Tel. +32 22822211 — </w:t>
                      </w:r>
                      <w:proofErr w:type="gramStart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>Fax</w:t>
                      </w:r>
                      <w:proofErr w:type="gramEnd"/>
                      <w:r w:rsidRPr="00AA36BA">
                        <w:rPr>
                          <w:rFonts w:ascii="Garamond" w:hAnsi="Garamond"/>
                          <w:b/>
                          <w:sz w:val="20"/>
                        </w:rPr>
                        <w:t xml:space="preserve"> +32 22822325 — Internet: </w:t>
                      </w:r>
                      <w:hyperlink r:id="rId14">
                        <w:r w:rsidRPr="00AA36BA">
                          <w:rPr>
                            <w:rStyle w:val="Hyperlink"/>
                            <w:rFonts w:ascii="Garamond" w:hAnsi="Garamond"/>
                            <w:b/>
                            <w:sz w:val="20"/>
                          </w:rPr>
                          <w:t>http://www.cor.europa.eu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444A98" w:rsidRPr="00A724FF">
        <w:trPr>
          <w:cantSplit/>
        </w:trPr>
        <w:tc>
          <w:tcPr>
            <w:tcW w:w="9243" w:type="dxa"/>
          </w:tcPr>
          <w:p w:rsidR="00444A98" w:rsidRPr="00A724FF" w:rsidRDefault="000E381A" w:rsidP="009F1861">
            <w:pPr>
              <w:spacing w:line="240" w:lineRule="auto"/>
              <w:jc w:val="center"/>
              <w:rPr>
                <w:b/>
                <w:bCs/>
                <w:sz w:val="32"/>
              </w:rPr>
            </w:pPr>
            <w:r w:rsidRPr="00A724FF">
              <w:rPr>
                <w:bCs/>
                <w:lang w:bidi="ar-SA"/>
              </w:rPr>
              <w:drawing>
                <wp:inline distT="0" distB="0" distL="0" distR="0" wp14:anchorId="4641EA81" wp14:editId="69CE3DE3">
                  <wp:extent cx="1590040" cy="7473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A98" w:rsidRPr="00A724FF">
        <w:trPr>
          <w:cantSplit/>
        </w:trPr>
        <w:tc>
          <w:tcPr>
            <w:tcW w:w="9243" w:type="dxa"/>
          </w:tcPr>
          <w:p w:rsidR="00444A98" w:rsidRPr="00A724FF" w:rsidRDefault="00045572" w:rsidP="00AA36BA">
            <w:pPr>
              <w:spacing w:line="240" w:lineRule="auto"/>
              <w:jc w:val="right"/>
              <w:rPr>
                <w:b/>
                <w:bCs/>
                <w:sz w:val="28"/>
              </w:rPr>
            </w:pPr>
            <w:r w:rsidRPr="00A724FF">
              <w:rPr>
                <w:b/>
                <w:sz w:val="28"/>
              </w:rPr>
              <w:t xml:space="preserve">COTER-VI-002 </w:t>
            </w:r>
          </w:p>
        </w:tc>
      </w:tr>
      <w:tr w:rsidR="00444A98" w:rsidRPr="00A724FF">
        <w:tc>
          <w:tcPr>
            <w:tcW w:w="9243" w:type="dxa"/>
          </w:tcPr>
          <w:p w:rsidR="00444A98" w:rsidRPr="00A724FF" w:rsidRDefault="000516BE" w:rsidP="009F1861">
            <w:pPr>
              <w:spacing w:line="240" w:lineRule="auto"/>
              <w:jc w:val="center"/>
              <w:rPr>
                <w:b/>
                <w:bCs/>
                <w:sz w:val="28"/>
              </w:rPr>
            </w:pPr>
            <w:r w:rsidRPr="00A724FF">
              <w:rPr>
                <w:b/>
                <w:sz w:val="28"/>
              </w:rPr>
              <w:t>111ª reunião plenária de 16 e 17 de abril de 2015</w:t>
            </w:r>
          </w:p>
        </w:tc>
      </w:tr>
    </w:tbl>
    <w:p w:rsidR="00444A98" w:rsidRPr="00A724FF" w:rsidRDefault="00444A98" w:rsidP="004C76A7"/>
    <w:p w:rsidR="00444A98" w:rsidRPr="00A724FF" w:rsidRDefault="00444A98" w:rsidP="009F1861"/>
    <w:p w:rsidR="00444A98" w:rsidRPr="00A724FF" w:rsidRDefault="00444A98" w:rsidP="009F1861"/>
    <w:p w:rsidR="00444A98" w:rsidRPr="00A724FF" w:rsidRDefault="00444A98" w:rsidP="009F1861"/>
    <w:p w:rsidR="00444A98" w:rsidRPr="00A724FF" w:rsidRDefault="00BA1AF6" w:rsidP="009F1861">
      <w:pPr>
        <w:jc w:val="center"/>
      </w:pPr>
      <w:r w:rsidRPr="00A724FF">
        <w:rPr>
          <w:b/>
          <w:sz w:val="28"/>
        </w:rPr>
        <w:t>PROJETO DE PARECER</w:t>
      </w:r>
      <w:r w:rsidRPr="00A724FF">
        <w:br/>
      </w:r>
      <w:r w:rsidRPr="00A724FF">
        <w:br/>
      </w:r>
      <w:r w:rsidRPr="00A724FF">
        <w:rPr>
          <w:b/>
          <w:sz w:val="28"/>
        </w:rPr>
        <w:t>Melhorar a implementação da Agenda Territorial da União Europeia 2020</w:t>
      </w:r>
    </w:p>
    <w:p w:rsidR="00444A98" w:rsidRPr="00A724FF" w:rsidRDefault="00444A98" w:rsidP="009F1861"/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444A98" w:rsidRPr="00A724FF">
        <w:tc>
          <w:tcPr>
            <w:tcW w:w="9243" w:type="dxa"/>
          </w:tcPr>
          <w:p w:rsidR="00444A98" w:rsidRPr="00A724FF" w:rsidRDefault="00444A98" w:rsidP="009F1861">
            <w:pPr>
              <w:jc w:val="center"/>
            </w:pPr>
            <w:r w:rsidRPr="00A724FF">
              <w:t>_____________</w:t>
            </w:r>
          </w:p>
          <w:p w:rsidR="00444A98" w:rsidRPr="00A724FF" w:rsidRDefault="00444A98" w:rsidP="009F1861">
            <w:pPr>
              <w:jc w:val="center"/>
            </w:pPr>
          </w:p>
          <w:p w:rsidR="00444A98" w:rsidRPr="00A724FF" w:rsidRDefault="00045572" w:rsidP="009F1861">
            <w:pPr>
              <w:spacing w:line="280" w:lineRule="auto"/>
              <w:jc w:val="center"/>
            </w:pPr>
            <w:r w:rsidRPr="00A724FF">
              <w:t xml:space="preserve">Relator: </w:t>
            </w:r>
            <w:r w:rsidRPr="00A724FF">
              <w:rPr>
                <w:b/>
              </w:rPr>
              <w:t>Marek Woźniak (PL-PPE)</w:t>
            </w:r>
            <w:r w:rsidRPr="00A724FF">
              <w:t xml:space="preserve"> </w:t>
            </w:r>
            <w:r w:rsidRPr="00A724FF">
              <w:br/>
              <w:t xml:space="preserve">Presidente da região da Grande Polónia </w:t>
            </w:r>
            <w:r w:rsidRPr="00A724FF">
              <w:br/>
              <w:t>_____________</w:t>
            </w:r>
            <w:r w:rsidR="00AA36BA" w:rsidRPr="00A724FF">
              <w:t xml:space="preserve"> </w:t>
            </w:r>
            <w:r w:rsidRPr="00A724FF">
              <w:br/>
            </w:r>
          </w:p>
        </w:tc>
      </w:tr>
    </w:tbl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p w:rsidR="00444A98" w:rsidRPr="00A724FF" w:rsidRDefault="00444A98" w:rsidP="009F186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44A98" w:rsidRPr="00A724FF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361F92" w:rsidRPr="00A724FF" w:rsidRDefault="00361F92" w:rsidP="009F1861">
            <w:pPr>
              <w:rPr>
                <w:b/>
                <w:u w:val="single"/>
              </w:rPr>
            </w:pPr>
            <w:r w:rsidRPr="00A724FF">
              <w:rPr>
                <w:b/>
                <w:u w:val="single"/>
              </w:rPr>
              <w:t>Prazo de apresentação das alterações</w:t>
            </w:r>
            <w:r w:rsidRPr="00A724FF">
              <w:rPr>
                <w:b/>
              </w:rPr>
              <w:t>:</w:t>
            </w:r>
          </w:p>
          <w:p w:rsidR="00361F92" w:rsidRPr="00A724FF" w:rsidRDefault="00361F92" w:rsidP="009F1861">
            <w:pPr>
              <w:rPr>
                <w:b/>
              </w:rPr>
            </w:pPr>
          </w:p>
          <w:p w:rsidR="00361F92" w:rsidRPr="00A724FF" w:rsidRDefault="00361F92" w:rsidP="009F1861">
            <w:r w:rsidRPr="00A724FF">
              <w:rPr>
                <w:b/>
              </w:rPr>
              <w:t>Sexta-feira, 27 de março de 2015, às 15 horas</w:t>
            </w:r>
            <w:r w:rsidRPr="00A724FF">
              <w:t xml:space="preserve"> (hora de Bruxelas) utilizando a ferramenta em linha para a apresentação de alterações (disponível no Portal dos Membros: </w:t>
            </w:r>
            <w:hyperlink r:id="rId16">
              <w:r w:rsidRPr="00A724FF">
                <w:rPr>
                  <w:rStyle w:val="Hyperlink"/>
                </w:rPr>
                <w:t>http://cor.europa.eu/members</w:t>
              </w:r>
            </w:hyperlink>
            <w:r w:rsidRPr="00A724FF">
              <w:t>).</w:t>
            </w:r>
          </w:p>
          <w:p w:rsidR="00361F92" w:rsidRPr="00A724FF" w:rsidRDefault="00361F92" w:rsidP="009F1861"/>
          <w:p w:rsidR="00444A98" w:rsidRPr="00A724FF" w:rsidRDefault="00361F92" w:rsidP="009F1861">
            <w:pPr>
              <w:rPr>
                <w:bCs/>
                <w:iCs/>
                <w:color w:val="000000"/>
              </w:rPr>
            </w:pPr>
            <w:r w:rsidRPr="00A724FF">
              <w:rPr>
                <w:u w:val="single"/>
              </w:rPr>
              <w:t>Número de assinaturas exigido</w:t>
            </w:r>
            <w:r w:rsidRPr="00A724FF">
              <w:t>: 6</w:t>
            </w:r>
          </w:p>
        </w:tc>
      </w:tr>
    </w:tbl>
    <w:p w:rsidR="00444A98" w:rsidRPr="00A724FF" w:rsidRDefault="00444A98" w:rsidP="009F1861"/>
    <w:p w:rsidR="00444A98" w:rsidRPr="00A724FF" w:rsidRDefault="00444A98" w:rsidP="009F1861">
      <w:pPr>
        <w:tabs>
          <w:tab w:val="left" w:pos="440"/>
        </w:tabs>
        <w:ind w:left="440" w:hanging="440"/>
        <w:sectPr w:rsidR="00444A98" w:rsidRPr="00A724FF" w:rsidSect="00AA36BA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39" w:code="9"/>
          <w:pgMar w:top="567" w:right="1440" w:bottom="1701" w:left="1440" w:header="283" w:footer="1134" w:gutter="0"/>
          <w:pgNumType w:start="1"/>
          <w:cols w:space="720"/>
          <w:docGrid w:linePitch="299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243"/>
      </w:tblGrid>
      <w:tr w:rsidR="00444A98" w:rsidRPr="00A724FF">
        <w:trPr>
          <w:trHeight w:val="12474"/>
        </w:trPr>
        <w:tc>
          <w:tcPr>
            <w:tcW w:w="9243" w:type="dxa"/>
            <w:vAlign w:val="bottom"/>
          </w:tcPr>
          <w:p w:rsidR="00444A98" w:rsidRPr="00A724FF" w:rsidRDefault="00444A98" w:rsidP="009F1861">
            <w:pPr>
              <w:spacing w:line="240" w:lineRule="auto"/>
              <w:rPr>
                <w:u w:val="single"/>
              </w:rPr>
            </w:pPr>
            <w:bookmarkStart w:id="0" w:name="_GoBack"/>
            <w:bookmarkEnd w:id="0"/>
            <w:r w:rsidRPr="00A724FF">
              <w:rPr>
                <w:u w:val="single"/>
              </w:rPr>
              <w:lastRenderedPageBreak/>
              <w:t>Texto de referência</w:t>
            </w:r>
          </w:p>
          <w:p w:rsidR="00444A98" w:rsidRPr="00A724FF" w:rsidRDefault="00444A98" w:rsidP="009F1861">
            <w:pPr>
              <w:spacing w:line="240" w:lineRule="auto"/>
            </w:pPr>
          </w:p>
          <w:p w:rsidR="00444A98" w:rsidRPr="00A724FF" w:rsidRDefault="00444A98" w:rsidP="009F1861">
            <w:pPr>
              <w:spacing w:line="240" w:lineRule="auto"/>
            </w:pPr>
          </w:p>
        </w:tc>
      </w:tr>
    </w:tbl>
    <w:p w:rsidR="00444A98" w:rsidRPr="00A724FF" w:rsidRDefault="00444A98" w:rsidP="009F1861"/>
    <w:p w:rsidR="00444A98" w:rsidRPr="00A724FF" w:rsidRDefault="00444A98" w:rsidP="009F1861">
      <w:pPr>
        <w:jc w:val="center"/>
      </w:pPr>
      <w:r w:rsidRPr="00A724FF">
        <w:br w:type="page"/>
      </w:r>
      <w:r w:rsidRPr="00A724FF">
        <w:rPr>
          <w:b/>
        </w:rPr>
        <w:t>Projeto de parecer do Comité das Regiões Europeu – Melhorar a implementação da Agenda Territorial da União Europeia 2020</w:t>
      </w:r>
    </w:p>
    <w:p w:rsidR="00444A98" w:rsidRPr="00A724FF" w:rsidRDefault="00444A98" w:rsidP="009F1861"/>
    <w:p w:rsidR="00444A98" w:rsidRPr="00A724FF" w:rsidRDefault="00444A98" w:rsidP="009F1861">
      <w:pPr>
        <w:rPr>
          <w:b/>
        </w:rPr>
      </w:pPr>
      <w:r w:rsidRPr="00A724FF">
        <w:rPr>
          <w:b/>
        </w:rPr>
        <w:t>I.</w:t>
      </w:r>
      <w:r w:rsidRPr="00A724FF">
        <w:tab/>
      </w:r>
      <w:r w:rsidRPr="00A724FF">
        <w:rPr>
          <w:b/>
        </w:rPr>
        <w:t>RECOMENDAÇÕES POLÍTICAS</w:t>
      </w:r>
    </w:p>
    <w:p w:rsidR="00444A98" w:rsidRPr="00A724FF" w:rsidRDefault="00444A98" w:rsidP="009F1861"/>
    <w:p w:rsidR="00444A98" w:rsidRPr="00A724FF" w:rsidRDefault="00444A98" w:rsidP="009F1861">
      <w:r w:rsidRPr="00A724FF">
        <w:t>O COMITÉ DAS REGIÕES EUROPEU</w:t>
      </w:r>
    </w:p>
    <w:p w:rsidR="00444A98" w:rsidRPr="00A724FF" w:rsidRDefault="00444A98" w:rsidP="009F1861"/>
    <w:p w:rsidR="005C2473" w:rsidRPr="00A724FF" w:rsidRDefault="00076712" w:rsidP="009F1861">
      <w:pPr>
        <w:pStyle w:val="Heading1"/>
      </w:pPr>
      <w:r w:rsidRPr="00A724FF">
        <w:t>salienta que a Agenda Territorial da União Europeia (TA2020) se constituiu desde o início como um quadro político de ação destinado a promover o desenvolvimento territorial policêntrico na UE. A responsabilidade pelas medidas políticas recai sobretudo sobre as instituições europeias;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recorda que a TA2020 tem por objetivo fornecer orientações estratégicas para o desenvolvimento territorial, apoiar a integração da dimensão territorial nos diferentes domínios políticos a todos os níveis de governação e assegurar a aplicação da Estratégia Europa 2020, de acordo com os princípios da coesão territorial</w:t>
      </w:r>
      <w:r w:rsidRPr="00A724FF">
        <w:rPr>
          <w:rStyle w:val="FootnoteReference"/>
        </w:rPr>
        <w:footnoteReference w:id="1"/>
      </w:r>
      <w:r w:rsidRPr="00A724FF">
        <w:t xml:space="preserve">; 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lamenta que a Agenda Territorial tenha estado ausente da arena política durante vários anos, mas congratula-se com o interesse demonstrado pelo atual Trio de Presidências (Itália – Letónia – Luxemburgo) em relação a este tema;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sublinha que a abordagem territorial (</w:t>
      </w:r>
      <w:r w:rsidRPr="00A724FF">
        <w:rPr>
          <w:i/>
        </w:rPr>
        <w:t>place-based</w:t>
      </w:r>
      <w:r w:rsidRPr="00A724FF">
        <w:t>) é o único modelo político que permite à União ir ao encontro das expectativas dos cidadãos europeus</w:t>
      </w:r>
      <w:r w:rsidRPr="00A724FF">
        <w:rPr>
          <w:rStyle w:val="FootnoteReference"/>
        </w:rPr>
        <w:footnoteReference w:id="2"/>
      </w:r>
      <w:r w:rsidRPr="00A724FF">
        <w:t>. Por conseguinte, a União Europeia – mediante a participação ativa do Comité das Regiões, dos órgãos de poder local e regional e de outras partes interessadas – tem de desempenhar um papel de maior protagonismo no desenvolvimento de uma abordagem de base local, o que permitirá melhorar a implementação da Agenda Territorial da UE;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destaca a necessidade de um planeamento estratégico conjunto para todo o território europeu, assente numa visão global de desenvolvimento futuro, visando promover uma melhor coordenação das políticas da União, gerar sinergias intersetoriais e definir claramente que instituições são responsáveis pela implementação da Agenda Territorial a nível europeu, nacional, regional e local;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entende neste contexto que, a bem de um desenvolvimento mais equilibrado, sustentável e inclusivo, são indispensáveis atividades de sensibilização e informação territorial, assim como de assistência no plano metodológico aos órgãos de poder local e regional, para além dos mecanismos de planeamento e coordenação. A este respeito, há ainda muito trabalho a fazer para obter dados comparativos a nível local e infralocal em toda a UE;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exorta, por conseguinte, à elaboração de uma estratégia de desenvolvimento territorial integrado à escala europeia, garantindo-se, simultaneamente, que as atuais competências do nível local e regional em matéria de planeamento são respeitadas</w:t>
      </w:r>
      <w:r w:rsidRPr="00A724FF">
        <w:rPr>
          <w:rStyle w:val="FootnoteReference"/>
        </w:rPr>
        <w:footnoteReference w:id="3"/>
      </w:r>
      <w:r w:rsidRPr="00A724FF">
        <w:t>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recomenda, tendo em vista a política de coesão após 2020, o reforço da dimensão territorial no âmbito da implementação eficaz da Estratégia Europa 2020 e mais além, que tenha em especial consideração o impacto territorial das políticas europeias. Para o efeito, recomenda que se proceda a uma revisão das políticas setoriais no respeitante ao seu impacto territorial e que o processo de adoção de atos jurídicos relativos às diferentes políticas da UE passe a incluir em permanência uma avaliação do impacto territorial, que constituiria um dos elementos da avaliação do impacto da regulamentação;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frisa a necessidade de acompanhar as medidas adotadas a nível europeu para contrariar as crescentes disparidades regionais em toda a UE no contexto da recente crise, as quais colocam uma séria ameaça à coesão territorial;</w:t>
      </w:r>
    </w:p>
    <w:p w:rsidR="005C2473" w:rsidRPr="00A724FF" w:rsidRDefault="005C2473" w:rsidP="009F1861"/>
    <w:p w:rsidR="005C2473" w:rsidRPr="00A724FF" w:rsidRDefault="005C2473" w:rsidP="009F1861">
      <w:pPr>
        <w:rPr>
          <w:i/>
        </w:rPr>
      </w:pPr>
      <w:r w:rsidRPr="00A724FF">
        <w:tab/>
      </w:r>
      <w:r w:rsidRPr="00A724FF">
        <w:rPr>
          <w:i/>
        </w:rPr>
        <w:t>Observações na generalidade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é de opinião que a UE necessita de uma estratégia de base local. Cabe redobrar esforços nesse sentido no âmbito do novo pacote legislativo da política de coesão. Por outras palavras, a política de coesão tem de saber conciliar os princípios da condicionalidade e da subsidiariedade, prestando mais atenção a este último;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recorda que a política territorial da União deve ter em consideração o impacto das suas diferentes estratégias políticas nas regiões e permitir enfrentar os atuais desafios de uma forma abrangente e não apenas circunscrita aos fundos estruturais e de investimento, a fim de ter em conta domínios como o ambiente, os transportes e o mercado interno, para citar apenas algumas das políticas da UE com evidentes repercussões territoriais. Há que ter em atenção a dimensão territorial na elaboração das políticas, a fim de maximizar sinergias, explorar as oportunidades de desenvolvimento e evitar efeitos políticos adversos;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mais uma vez recomenda a criação de um «Conselho da Política de Coesão» composto pelos ministros do desenvolvimento regional ao nível de governação competente em cada Estado</w:t>
      </w:r>
      <w:r w:rsidRPr="00A724FF">
        <w:noBreakHyphen/>
        <w:t>Membro e por um representante do Comité das Regiões enquanto coordenador da cooperação, com o objetivo de reforçar o sistema de controlo e velar pelo equilíbrio. A este respeito, declara a sua disponibilidade para participar ativamente nos debates políticos sobre a criação da referida estrutura, de modo a garantir que os pontos de vista dos órgãos de poder local e regional são plenamente tidos em conta.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salienta que a parceria é uma condição essencial para aumentar a eficácia da política de coesão, e apenas um sistema de governação a vários níveis permitirá combinar eficazmente as orientações estratégicas da União Europeia e os desafios regionais e locais</w:t>
      </w:r>
      <w:r w:rsidRPr="00A724FF">
        <w:rPr>
          <w:rStyle w:val="FootnoteReference"/>
        </w:rPr>
        <w:footnoteReference w:id="4"/>
      </w:r>
      <w:r w:rsidRPr="00A724FF">
        <w:t>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reitera o seu apoio aos novos mecanismos e instrumentos destinados a reforçar a abordagem territorial através do desenvolvimento local de base comunitária e do investimento territorial integrado (ITI), na medida em que oferecem aos órgãos de poder local, aos municípios e às regiões excelentes oportunidades de utilizarem os fundos da UE para gerar crescimento económico e prosperidade e para regressar à convergência; lamenta, por conseguinte, que, embora muitos Estados-Membros tenham considerado a sua implementação, na prática isso seja dificultado pelos obstáculos regulamentares que subsistem na UE e pela relutância das autoridades de gestão em permitir que estes mecanismos e instrumentos da UE sejam aplicados ao nível regional e local;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assinala que, perante as fortes disparidades quanto ao nível de implementação destes instrumentos nos diferentes Estados-Membros, cumpre simplificar e coordenar ao máximo o sistema de gestão, implementação, acompanhamento e controlo dos instrumentos de apoio ao desenvolvimento territorial;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 xml:space="preserve">salienta, no entanto, que a abordagem territorial do desenvolvimento vai muito para além destes instrumentos e deve ser tida em conta em todas as dimensões da política de coesão; 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 xml:space="preserve">apela a um maior respeito pelo artigo 174.º do Tratado sobre o Funcionamento da União Europeia (TFUE), que versa sobre a coesão territorial. Este artigo estabelece que a União procurará reduzir a disparidade entre os níveis de desenvolvimento das diversas regiões e o atraso das regiões menos favorecidas, prestando especial atenção às zonas rurais, às zonas afetadas pela transição industrial e às regiões com limitações naturais ou demográficas graves e permanentes, como as regiões mais setentrionais com muito baixa densidade populacional e as regiões insulares, transfronteiriças e de montanha. Na verdade, permitir que estes territórios superem os seus obstáculos estruturais ao desenvolvimento constituiria um dos elementos-chave para o sucesso da Agenda Territorial 2020; 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sublinha, além disso, a necessidade de considerar outros desafios demográficos que têm importantes repercussões para as regiões, como o êxodo das populações, o envelhecimento e a baixa densidade populacional; solicita que, ao implementar a política de coesão, a Comissão preste especial atenção às zonas geográfica e demograficamente mais desfavorecidas</w:t>
      </w:r>
      <w:r w:rsidRPr="00A724FF">
        <w:rPr>
          <w:rStyle w:val="FootnoteReference"/>
        </w:rPr>
        <w:footnoteReference w:id="5"/>
      </w:r>
      <w:r w:rsidRPr="00A724FF">
        <w:t>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apela ao relançamento do debate sobre a medição da qualidade de vida recorrendo a outros indicadores para além do PIB, destacando que a coesão territorial constitui um complemento à coesão económica e social e não é, por isso, mensurável apenas através de indicadores económicos. O crescimento inteligente, sustentável e inclusivo da UE envolve muito mais do que o simples aumento do PIB. Abrange também aspetos territoriais, sociais, culturais e, em particular, ambientais, que são especialmente importantes nas regiões rurais ou menos povoadas;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solicita a introdução de um conjunto de indicadores e de índices comparáveis e fiáveis que possam ser utilizados para medir, apoiar e acompanhar a coesão territorial, o desenvolvimento territorial abrangente, problemas estruturais, desafios e oportunidades territoriais, bem como o impacto territorial nos diferentes níveis geográficos e tipos de regiões</w:t>
      </w:r>
      <w:r w:rsidRPr="00A724FF">
        <w:rPr>
          <w:rStyle w:val="FootnoteReference"/>
        </w:rPr>
        <w:footnoteReference w:id="6"/>
      </w:r>
      <w:r w:rsidRPr="00A724FF">
        <w:t>. Tal permitirá que os decisores políticos tomem decisões informadas em matéria de ordenamento do território, em conformidade com os requisitos de proporcionalidade;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assinala igualmente a necessidade de encetar um debate sobre o futuro da política de coesão após 2020, examinando, em particular, se se concretizaram os seus objetivos iniciais relativos ao apoio a uma abordagem de base local;</w:t>
      </w:r>
    </w:p>
    <w:p w:rsidR="005C2473" w:rsidRPr="00A724FF" w:rsidRDefault="005C2473" w:rsidP="009F1861"/>
    <w:p w:rsidR="005C2473" w:rsidRPr="00A724FF" w:rsidRDefault="005C2473" w:rsidP="009F1861">
      <w:pPr>
        <w:keepNext/>
        <w:rPr>
          <w:i/>
        </w:rPr>
      </w:pPr>
      <w:r w:rsidRPr="00A724FF">
        <w:tab/>
      </w:r>
      <w:r w:rsidRPr="00A724FF">
        <w:rPr>
          <w:i/>
        </w:rPr>
        <w:t>Desenvolvimento territorial policêntrico</w:t>
      </w:r>
    </w:p>
    <w:p w:rsidR="005C2473" w:rsidRPr="00A724FF" w:rsidRDefault="005C2473" w:rsidP="009F1861">
      <w:pPr>
        <w:keepNext/>
      </w:pPr>
    </w:p>
    <w:p w:rsidR="005C2473" w:rsidRPr="00A724FF" w:rsidRDefault="00076712" w:rsidP="003659BE">
      <w:pPr>
        <w:pStyle w:val="Heading1"/>
      </w:pPr>
      <w:r w:rsidRPr="00A724FF">
        <w:t>faz notar que o desenvolvimento policêntrico da UE tem uma importância-chave para a consecução da coesão territorial;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recorda que a eficácia e a qualidade da Europa dependem da criação de redes de contactos entre municípios de todas as dimensões – desde o nível local até ao nível mundial – bem como da capacitação dos cidadãos e da realização de atividades a nível local para promover os pontos fortes de cada território a nível europeu e mundial;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realça que a abertura aos países vizinhos e ao resto do mundo é uma condição necessária para todos os municípios e regiões europeias que pretendam beneficiar das oportunidades de desenvolvimento oferecidas pelo crescimento global e pelo progresso tecnológico. Neste contexto, o apoio à cooperação transfronteiriça, especialmente nas fronteiras externas da UE, revelou-se um instrumento eficaz. O desenvolvimento da Europa a longo prazo depende da valorização global e do aproveitamento das mais-valias competitivas de cada município e região no contexto da conclusão do mercado único e da definição de estratégias eficazes de desenvolvimento conjunto, em particular no âmbito da Parceria Euro-Mediterrânica e da Parceria Oriental, bem como da Parceria Transatlântica de Comércio e Investimento</w:t>
      </w:r>
      <w:r w:rsidRPr="00A724FF">
        <w:rPr>
          <w:rStyle w:val="FootnoteReference"/>
        </w:rPr>
        <w:footnoteReference w:id="7"/>
      </w:r>
      <w:r w:rsidRPr="00A724FF">
        <w:t xml:space="preserve">; 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frisa que a cooperação entre os municípios e regiões mais desenvolvidos gera valor acrescentado e contribui para o desenvolvimento do meio mais alargado em que se inserem; salienta, pois, a necessidade de levar em conta o papel dos órgãos de poder local e regional, bem como os seus pontos de vista e propostas, visto que eles são diretamente afetados pelas políticas da UE;</w:t>
      </w:r>
    </w:p>
    <w:p w:rsidR="005C2473" w:rsidRPr="00A724FF" w:rsidRDefault="005C2473" w:rsidP="009F1861"/>
    <w:p w:rsidR="005C2473" w:rsidRPr="00A724FF" w:rsidRDefault="005C2473" w:rsidP="009F1861">
      <w:pPr>
        <w:keepNext/>
        <w:ind w:left="720" w:hanging="720"/>
        <w:rPr>
          <w:i/>
        </w:rPr>
      </w:pPr>
      <w:r w:rsidRPr="00A724FF">
        <w:tab/>
      </w:r>
      <w:r w:rsidRPr="00A724FF">
        <w:rPr>
          <w:i/>
        </w:rPr>
        <w:t>O papel das cidades secundárias e das zonas urbanas e rurais de pequena e média dimensão</w:t>
      </w:r>
    </w:p>
    <w:p w:rsidR="005C2473" w:rsidRPr="00A724FF" w:rsidRDefault="005C2473" w:rsidP="009F1861">
      <w:pPr>
        <w:keepNext/>
      </w:pPr>
    </w:p>
    <w:p w:rsidR="005C2473" w:rsidRPr="00A724FF" w:rsidRDefault="00076712" w:rsidP="009F1861">
      <w:pPr>
        <w:pStyle w:val="Heading1"/>
      </w:pPr>
      <w:r w:rsidRPr="00A724FF">
        <w:t xml:space="preserve">chama a atenção para as vantagens de um modelo policêntrico de desenvolvimento regional, salientando neste contexto a importância das ligações entre as zonas urbanas e as zonas rurais; 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apela à adoção de uma abordagem política favorável à criação de regiões funcionais aquém e além-fronteiras, visto que as zonas funcionais abrangem tanto as zonas urbanas como as zonas rurais, e atendendo a que as análises económicas e territoriais salientam amiúde o seu papel na manutenção da massa crítica para o desenvolvimento e na redução da vulnerabilidade aos choques externos;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faz notar que existem zonas de exclusão social em espaços urbanos, suburbanos e rurais que, muitas vezes, são adjacentes a zonas que oferecem um nível de vida digno. Há que tomar em consideração as especificidades infrarregionais com vista a melhorar a implementação da Agenda Territorial;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apela a uma maior concentração das políticas e dos recursos financeiros da UE em prol de ligações eficazes e eficientes entre as zonas urbanas, do acesso ao conhecimento e à educação e da criação de redes de cidades e de espaços funcionais</w:t>
      </w:r>
      <w:r w:rsidRPr="00A724FF">
        <w:rPr>
          <w:rStyle w:val="FootnoteReference"/>
        </w:rPr>
        <w:footnoteReference w:id="8"/>
      </w:r>
      <w:r w:rsidRPr="00A724FF">
        <w:t>, visando a partilha de boas práticas, de soluções políticas eficazes e de projetos;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congratula-se com o facto de a Agenda Territorial 2020 exortar os Estados, as regiões e os municípios (incluindo os de pequena e média dimensão) a contribuírem para as prioridades territoriais comuns da Europa, mas ao mesmo tempo lamenta que os órgãos de poder local e regional ainda não sejam tratados em pé de igualdade com os outros intervenientes nos processos de decisão neste domínio. Cabe envidar esforços no sentido de permitir a estes órgãos de poder reagir com maior eficácia aos desafios territoriais mais importantes na Europa;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reconhece que o funcionamento eficaz das pequenas e médias cidades e a diversificação das economias rurais são elementos essenciais para a plena implementação da Agenda Territorial. Neste contexto, importa fazer incidir as estratégias sobre o acesso equitativo a serviços de interesse socioeconómico geral, o alargamento das zonas funcionais (com base nas iniciativas de desenvolvimento urbano-rural já elaboradas) e a promoção da acessibilidade e da interligação das cidades pequenas e médias</w:t>
      </w:r>
      <w:r w:rsidRPr="00A724FF">
        <w:rPr>
          <w:rStyle w:val="FootnoteReference"/>
        </w:rPr>
        <w:footnoteReference w:id="9"/>
      </w:r>
      <w:r w:rsidRPr="00A724FF">
        <w:t>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assinala o papel das zonas urbanas de pequena e média dimensão enquanto um dos elementos do desenvolvimento territorial policêntrico. Neste contexto, congratula-se com a abordagem por parte do Trio de Presidências de um tema comum neste domínio relativo, nomeadamente, à análise das ligações entre espaços rurais e urbanos, à apresentação de mecanismos de cooperação entre as regiões e à consecução de um desenvolvimento territorial mais equilibrado;</w:t>
      </w:r>
    </w:p>
    <w:p w:rsidR="006A0D2C" w:rsidRPr="00A724FF" w:rsidRDefault="006A0D2C" w:rsidP="003659BE"/>
    <w:p w:rsidR="006A0D2C" w:rsidRPr="00A724FF" w:rsidRDefault="006A0D2C" w:rsidP="009F1861">
      <w:pPr>
        <w:pStyle w:val="Heading1"/>
      </w:pPr>
      <w:r w:rsidRPr="00A724FF">
        <w:t xml:space="preserve">salienta que as zonas urbanas de pequena e média dimensão desempenham um papel ativo em prol do bem-estar e da prosperidade dos habitantes das zonas rurais em seu redor, constituindo polos de emprego, serviços e transportes a nível local. São, pois, importantes para conter o processo de despovoamento das zonas rurais e urbanas. Não obstante, podem também contribuir para o desenvolvimento das zonas metropolitanas através da participação numa rede policêntrica conjunta, para além de ajudarem a resolver questões ambientais e de qualidade de vida resultantes da excessiva concentração da população nas grandes cidades; 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preconiza neste contexto a prossecução do desenvolvimento da dimensão urbana da política de coesão e uma melhoria da sua coordenação com outras políticas que afetem as zonas urbanas no quadro de uma agenda urbana integrada, assim como o reforço da cooperação europeia formal entre as zonas urbanas e a sua envolvente rural</w:t>
      </w:r>
      <w:r w:rsidRPr="00A724FF">
        <w:rPr>
          <w:rStyle w:val="FootnoteReference"/>
        </w:rPr>
        <w:footnoteReference w:id="10"/>
      </w:r>
      <w:r w:rsidRPr="00A724FF">
        <w:t xml:space="preserve">; reitera o seu apelo para que se elabore um Livro Branco para uma agenda urbana integrada; </w:t>
      </w:r>
    </w:p>
    <w:p w:rsidR="005C2473" w:rsidRPr="00A724FF" w:rsidRDefault="005C2473" w:rsidP="009F1861"/>
    <w:p w:rsidR="005C2473" w:rsidRPr="00A724FF" w:rsidRDefault="00076712" w:rsidP="003659BE">
      <w:pPr>
        <w:keepNext/>
        <w:rPr>
          <w:i/>
        </w:rPr>
      </w:pPr>
      <w:r w:rsidRPr="00A724FF">
        <w:tab/>
      </w:r>
      <w:r w:rsidRPr="00A724FF">
        <w:rPr>
          <w:i/>
        </w:rPr>
        <w:t>Interligar as regiões da Europa: perspetiva territorial</w:t>
      </w:r>
    </w:p>
    <w:p w:rsidR="005C2473" w:rsidRPr="00A724FF" w:rsidRDefault="005C2473" w:rsidP="003659BE">
      <w:pPr>
        <w:keepNext/>
      </w:pPr>
    </w:p>
    <w:p w:rsidR="005C2473" w:rsidRPr="00A724FF" w:rsidRDefault="00076712" w:rsidP="009F1861">
      <w:pPr>
        <w:pStyle w:val="Heading1"/>
      </w:pPr>
      <w:r w:rsidRPr="00A724FF">
        <w:t>encara a cooperação territorial europeia – coadjuvada por iniciativas de cooperação transfronteiriça, inter-regional ou transnacional (por exemplo, os AECT) – e o desenvolvimento de estratégias macrorregionais como instrumentos fundamentais para uma implementação mais eficaz da Agenda Territorial; saúda, pois, o plano do Trio de Presidências de examinar as necessidades em matéria de disposições jurídicas com vista à criação de zonas transfronteiriças integradas; entende que a participação dos órgãos infraestatais na elaboração e gestão destes instrumentos deve continuar a ser um elemento fundamental para a consecução dos seus objetivos;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entende ser necessário promover um crescimento policêntrico e geograficamente equilibrado entre os diferentes territórios, nomeadamente através de medidas firmes para colmatar o fosso digital e de uma política de transportes sustentável assente numa estratégia adaptada às especificidades territoriais;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destaca o papel das infraestruturas de transporte enquanto instrumento de coesão territorial. As regiões que enfrentam dificuldades geográficas e demográficas requerem uma atenção especial a este respeito</w:t>
      </w:r>
      <w:r w:rsidRPr="00A724FF">
        <w:rPr>
          <w:rStyle w:val="FootnoteReference"/>
        </w:rPr>
        <w:footnoteReference w:id="11"/>
      </w:r>
      <w:r w:rsidRPr="00A724FF">
        <w:t>; neste contexto, assinala a possibilidade de recorrer aos Agrupamentos Europeus de Cooperação Territorial para apoiar as ligações transfronteiras, inclusive com países terceiros, bem como a instrumentos financeiros diversos, como o Mecanismo Interligar a Europa;</w:t>
      </w:r>
    </w:p>
    <w:p w:rsidR="005C2473" w:rsidRPr="00A724FF" w:rsidRDefault="005C2473" w:rsidP="009F1861"/>
    <w:p w:rsidR="005C2473" w:rsidRPr="00A724FF" w:rsidRDefault="00076712" w:rsidP="009F1861">
      <w:pPr>
        <w:pStyle w:val="Heading1"/>
      </w:pPr>
      <w:r w:rsidRPr="00A724FF">
        <w:t>apela a que a Comissão prossiga e intensifique os seus esforços no sentido de concluir a rede principal das RTE-T, em particular no que se refere a eliminar pontos de estrangulamento e facilitar as conexões transfronteiriças, e a que reforce a participação dos órgãos de poder local e regional nas plataformas de corredor;</w:t>
      </w:r>
    </w:p>
    <w:p w:rsidR="005C2473" w:rsidRPr="00A724FF" w:rsidRDefault="005C2473" w:rsidP="009F1861"/>
    <w:p w:rsidR="005C2473" w:rsidRPr="00A724FF" w:rsidRDefault="00464D79" w:rsidP="009F1861">
      <w:pPr>
        <w:pStyle w:val="Heading1"/>
      </w:pPr>
      <w:r w:rsidRPr="00A724FF">
        <w:t>sublinha, como indicado no sexto relatório sobre a coesão, que as orientações para o desenvolvimento da rede transeuropeia de transportes definem o objetivo de dispor de uma rede verdadeiramente multimodal à escala da UE, incluindo as vias férreas, o que requer a criação de novas infraestruturas e a melhoria das existentes; a este respeito, reputa necessário dispor de meios de transporte sustentáveis, competitivos, eficientes do ponto de vista energético e mais ecológicos, favorecer a intermodalidade e a utilização complementar dos diferentes modos de transporte, bem como desenvolver projetos de infraestruturas nas regiões menos desenvolvidas, nas zonas transfronteiriças, nos territórios cujo acesso ao mercado interno é condicionado por barreiras físicas e nos que apresentam problemas de coesão territorial;</w:t>
      </w:r>
    </w:p>
    <w:p w:rsidR="005C2473" w:rsidRPr="00A724FF" w:rsidRDefault="005C2473" w:rsidP="009F1861"/>
    <w:p w:rsidR="005C2473" w:rsidRPr="00A724FF" w:rsidRDefault="005C2473" w:rsidP="003659BE">
      <w:pPr>
        <w:keepNext/>
        <w:rPr>
          <w:i/>
        </w:rPr>
      </w:pPr>
      <w:r w:rsidRPr="00A724FF">
        <w:tab/>
      </w:r>
      <w:r w:rsidRPr="00A724FF">
        <w:rPr>
          <w:i/>
        </w:rPr>
        <w:t>Agenda Territorial e Estratégia Europa 2020</w:t>
      </w:r>
    </w:p>
    <w:p w:rsidR="005C2473" w:rsidRPr="00A724FF" w:rsidRDefault="005C2473" w:rsidP="003659BE">
      <w:pPr>
        <w:keepNext/>
      </w:pPr>
    </w:p>
    <w:p w:rsidR="005C2473" w:rsidRPr="00A724FF" w:rsidRDefault="00076712" w:rsidP="009F1861">
      <w:pPr>
        <w:pStyle w:val="Heading1"/>
      </w:pPr>
      <w:r w:rsidRPr="00A724FF">
        <w:t>observa que a Agenda Territorial UE 2020 confirma a importância da abordagem territorial para a implementação da Estratégia Europa 2020. Neste sentido, só se poderão atingir os objetivos europeus definidos na estratégia se a respetiva dimensão territorial for tida em conta, uma vez que as possibilidades de desenvolvimento das diferentes regiões diferem entre si</w:t>
      </w:r>
      <w:r w:rsidRPr="00A724FF">
        <w:rPr>
          <w:rStyle w:val="FootnoteReference"/>
        </w:rPr>
        <w:footnoteReference w:id="12"/>
      </w:r>
      <w:r w:rsidRPr="00A724FF">
        <w:t>;</w:t>
      </w:r>
    </w:p>
    <w:p w:rsidR="005C2473" w:rsidRPr="00A724FF" w:rsidRDefault="005C2473" w:rsidP="009F1861"/>
    <w:p w:rsidR="005C2473" w:rsidRPr="00A724FF" w:rsidRDefault="00F313C6" w:rsidP="009F1861">
      <w:pPr>
        <w:pStyle w:val="Heading1"/>
      </w:pPr>
      <w:r w:rsidRPr="00A724FF">
        <w:t>reitera o seu apelo à apresentação de um Livro Branco sobre coesão territorial baseado numa análise da interação entre a Agenda Territorial 2020 e a Estratégia Europa 2020, no intuito de combater as disparidades regionais crescentes na UE</w:t>
      </w:r>
      <w:r w:rsidRPr="00A724FF">
        <w:rPr>
          <w:rStyle w:val="FootnoteReference"/>
        </w:rPr>
        <w:footnoteReference w:id="13"/>
      </w:r>
      <w:r w:rsidRPr="00A724FF">
        <w:t>;</w:t>
      </w:r>
    </w:p>
    <w:p w:rsidR="005C2473" w:rsidRPr="00A724FF" w:rsidRDefault="005C2473" w:rsidP="009F1861"/>
    <w:p w:rsidR="005C2473" w:rsidRPr="00A724FF" w:rsidRDefault="00F313C6" w:rsidP="009F1861">
      <w:pPr>
        <w:pStyle w:val="Heading1"/>
      </w:pPr>
      <w:r w:rsidRPr="00A724FF">
        <w:t>defende que a política de coesão da UE, com os seus objetivos de coesão económica, social e territorial, dará também no futuro um claro contributo para a realização dos objetivos da Estratégia Europa 2020. Através de uma articulação mais profunda entre os objetivos de crescimento e de convergência, a política de coesão apoiará a redução das disparidades na União Europeia no que respeita à realização dos objetivos centrais da estratégia e contribuirá, assim, para um bem-estar duradouro em toda a Europa. Importa aproveitar sistematicamente este potencial, recorrendo à abordagem de parceria da política de coesão para, no âmbito de estratégias regionais, abordar de forma concreta as condições e potencialidades locais;</w:t>
      </w:r>
    </w:p>
    <w:p w:rsidR="005C2473" w:rsidRPr="00A724FF" w:rsidRDefault="005C2473" w:rsidP="009F1861"/>
    <w:p w:rsidR="005C2473" w:rsidRPr="00A724FF" w:rsidRDefault="00F313C6" w:rsidP="009F1861">
      <w:pPr>
        <w:pStyle w:val="Heading1"/>
      </w:pPr>
      <w:r w:rsidRPr="00A724FF">
        <w:t>apoia, por conseguinte, a ideia de propor um código de conduta para a Estratégia Europa 2020</w:t>
      </w:r>
      <w:r w:rsidRPr="00A724FF">
        <w:rPr>
          <w:rStyle w:val="FootnoteReference"/>
        </w:rPr>
        <w:footnoteReference w:id="14"/>
      </w:r>
      <w:r w:rsidRPr="00A724FF">
        <w:t>, tendo como base o código de conduta europeu sobre parcerias, visando assegurar que os órgãos de poder local e regional e outras partes interessadas participam na elaboração e implementação dos documentos estratégicos de longo prazo pertinentes para o desenvolvimento territorial;</w:t>
      </w:r>
    </w:p>
    <w:p w:rsidR="005C2473" w:rsidRPr="00A724FF" w:rsidRDefault="005C2473" w:rsidP="009F1861"/>
    <w:p w:rsidR="005C2473" w:rsidRPr="00A724FF" w:rsidRDefault="005C2473" w:rsidP="009F1861">
      <w:pPr>
        <w:keepNext/>
        <w:rPr>
          <w:i/>
        </w:rPr>
      </w:pPr>
      <w:r w:rsidRPr="00A724FF">
        <w:tab/>
      </w:r>
      <w:r w:rsidRPr="00A724FF">
        <w:rPr>
          <w:i/>
        </w:rPr>
        <w:t>Uma visão para a Europa</w:t>
      </w:r>
    </w:p>
    <w:p w:rsidR="005C2473" w:rsidRPr="00A724FF" w:rsidRDefault="005C2473" w:rsidP="009F1861">
      <w:pPr>
        <w:keepNext/>
      </w:pPr>
    </w:p>
    <w:p w:rsidR="005C2473" w:rsidRPr="00A724FF" w:rsidRDefault="00F313C6" w:rsidP="009F1861">
      <w:pPr>
        <w:pStyle w:val="Heading1"/>
      </w:pPr>
      <w:r w:rsidRPr="00A724FF">
        <w:t xml:space="preserve">salienta as iniciativas do ESPON relativas à elaboração de um conjunto de indicadores e índices relacionados com o desenvolvimento territorial europeu, de que os decisores políticos se poderão socorrer para a medição e acompanhamento da coesão territorial; </w:t>
      </w:r>
    </w:p>
    <w:p w:rsidR="005C2473" w:rsidRPr="00A724FF" w:rsidRDefault="005C2473" w:rsidP="009F1861"/>
    <w:p w:rsidR="00115EB6" w:rsidRPr="00A724FF" w:rsidRDefault="00115EB6" w:rsidP="003659BE">
      <w:pPr>
        <w:pStyle w:val="Heading1"/>
      </w:pPr>
      <w:r w:rsidRPr="00A724FF">
        <w:t>considera que é urgente desenvolver dados estatísticos comparáveis relativos às zonas locais e infralocais, bem como traduzir as atuais classificações urbano-rurais da OCDE e da Comissão em categorias do Eurostat que possam, com base em informações fiáveis do terreno, contribuir tanto para a elaboração como para a avaliação das políticas da UE;</w:t>
      </w:r>
    </w:p>
    <w:p w:rsidR="00115EB6" w:rsidRPr="00A724FF" w:rsidRDefault="00115EB6" w:rsidP="009F1861"/>
    <w:p w:rsidR="005C2473" w:rsidRPr="00A724FF" w:rsidRDefault="00F313C6" w:rsidP="009F1861">
      <w:pPr>
        <w:pStyle w:val="Heading1"/>
      </w:pPr>
      <w:r w:rsidRPr="00A724FF">
        <w:t>faz notar que a construção de uma Europa aberta e policêntrica constitui a estratégia territorial mais coerente para reforçar o crescimento económico, a competitividade e a coesão social e para realizar os objetivos de desenvolvimento sustentável promovidos pela Estratégia Europa 2020 e a Agenda Territorial 2020 para as próximas décadas</w:t>
      </w:r>
      <w:r w:rsidRPr="00A724FF">
        <w:rPr>
          <w:rStyle w:val="FootnoteReference"/>
        </w:rPr>
        <w:footnoteReference w:id="15"/>
      </w:r>
      <w:r w:rsidRPr="00A724FF">
        <w:t>; manifesta o seu apoio a uma estratégia que conjugue desenvolvimento e coesão e vise criar espaços onde seja agradável viver;</w:t>
      </w:r>
    </w:p>
    <w:p w:rsidR="005C2473" w:rsidRPr="00A724FF" w:rsidRDefault="005C2473" w:rsidP="009F1861"/>
    <w:p w:rsidR="00444A98" w:rsidRPr="00A724FF" w:rsidRDefault="00F313C6" w:rsidP="009F1861">
      <w:pPr>
        <w:pStyle w:val="Heading1"/>
      </w:pPr>
      <w:r w:rsidRPr="00A724FF">
        <w:t>reconhece a necessidade de um planeamento estratégico comum para o conjunto do território europeu, assente numa visão global de desenvolvimento futuro e destinado a assegurar uma melhor coordenação das políticas de desenvolvimento regional</w:t>
      </w:r>
      <w:r w:rsidRPr="00A724FF">
        <w:rPr>
          <w:rStyle w:val="FootnoteReference"/>
        </w:rPr>
        <w:footnoteReference w:id="16"/>
      </w:r>
      <w:r w:rsidRPr="00A724FF">
        <w:t>.</w:t>
      </w:r>
    </w:p>
    <w:p w:rsidR="00444A98" w:rsidRPr="00A724FF" w:rsidRDefault="00444A98" w:rsidP="009F1861"/>
    <w:p w:rsidR="00444A98" w:rsidRPr="00A724FF" w:rsidRDefault="00444A98" w:rsidP="009F1861">
      <w:r w:rsidRPr="00A724FF">
        <w:t xml:space="preserve">Bruxelas, </w:t>
      </w:r>
    </w:p>
    <w:p w:rsidR="00444A98" w:rsidRPr="00A724FF" w:rsidRDefault="00444A98" w:rsidP="009F1861"/>
    <w:p w:rsidR="00444A98" w:rsidRPr="00A724FF" w:rsidRDefault="00444A98" w:rsidP="009F1861">
      <w:pPr>
        <w:rPr>
          <w:b/>
        </w:rPr>
      </w:pPr>
      <w:r w:rsidRPr="00A724FF">
        <w:br w:type="page"/>
      </w:r>
      <w:r w:rsidRPr="00A724FF">
        <w:rPr>
          <w:b/>
        </w:rPr>
        <w:t>II.</w:t>
      </w:r>
      <w:r w:rsidRPr="00A724FF">
        <w:tab/>
      </w:r>
      <w:r w:rsidRPr="00A724FF">
        <w:rPr>
          <w:b/>
        </w:rPr>
        <w:t>PROCESSO</w:t>
      </w:r>
    </w:p>
    <w:p w:rsidR="00D40C91" w:rsidRPr="00A724FF" w:rsidRDefault="00D40C91" w:rsidP="009F1861"/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9"/>
        <w:gridCol w:w="5391"/>
      </w:tblGrid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C91" w:rsidRPr="00A724FF" w:rsidRDefault="00D40C91" w:rsidP="009F1861">
            <w:pPr>
              <w:spacing w:line="240" w:lineRule="auto"/>
              <w:rPr>
                <w:b/>
              </w:rPr>
            </w:pPr>
            <w:r w:rsidRPr="00A724FF">
              <w:rPr>
                <w:b/>
              </w:rPr>
              <w:t>Título</w:t>
            </w:r>
          </w:p>
          <w:p w:rsidR="00D40C91" w:rsidRPr="00A724FF" w:rsidRDefault="00D40C91" w:rsidP="009F1861">
            <w:pPr>
              <w:spacing w:line="240" w:lineRule="auto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Melhorar a implementação da Agenda Territorial da União Europeia 2020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AA36BA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 xml:space="preserve">Referências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C91" w:rsidRPr="00A724FF" w:rsidRDefault="00D40C91" w:rsidP="009F1861">
            <w:pPr>
              <w:spacing w:line="240" w:lineRule="auto"/>
            </w:pP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Base jurídica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Artigo 307.º do TFUE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Processo regimental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Artigo 41.º, alínea b), subalínea i), do Regimento do CR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rPr>
                <w:b/>
              </w:rPr>
              <w:t>Data da consulta do Conselho/PE / Data da carta da Comissão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25 de setembro de 2014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rPr>
                <w:b/>
              </w:rPr>
              <w:t>Data da decisão do presidente / da Mesa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15 de outubro de 2014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Comissão competente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Comissão de Política de Coesão Territorial e Orçamento da UE (COTER)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Relator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Marek Woźniak (PL-PPE)</w:t>
            </w:r>
          </w:p>
          <w:p w:rsidR="00D40C91" w:rsidRPr="00A724FF" w:rsidRDefault="00D40C91" w:rsidP="009F1861">
            <w:pPr>
              <w:spacing w:line="240" w:lineRule="auto"/>
            </w:pPr>
            <w:r w:rsidRPr="00A724FF">
              <w:t>Presidente da região da Grande Polónia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Nota de análise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22 de janeiro de 2015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AA36BA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 xml:space="preserve">Exame em comissão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C91" w:rsidRPr="00A724FF" w:rsidRDefault="00D40C91" w:rsidP="009F1861">
            <w:pPr>
              <w:spacing w:line="240" w:lineRule="auto"/>
              <w:rPr>
                <w:b/>
              </w:rPr>
            </w:pPr>
            <w:r w:rsidRPr="00A724FF">
              <w:t>2 de março de 2015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AA36BA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 xml:space="preserve">Data da adoção em comissão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2 de março de 2015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</w:rPr>
            </w:pPr>
            <w:r w:rsidRPr="00A724FF">
              <w:rPr>
                <w:b/>
              </w:rPr>
              <w:t>Resultado da votação em comissão</w:t>
            </w:r>
          </w:p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(maioria, unanimidade)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C91" w:rsidRPr="00A724FF" w:rsidRDefault="003D10B4" w:rsidP="009F1861">
            <w:pPr>
              <w:spacing w:line="240" w:lineRule="auto"/>
            </w:pPr>
            <w:r w:rsidRPr="00A724FF">
              <w:t>Maioria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AA36BA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 xml:space="preserve">Data da adoção em plenária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Prevista para 16 e 17 de abril de 2015</w:t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AA36BA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 xml:space="preserve">Pareceres anteriores do Comité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o «Contributo da política de coesão para a Estratégia Europa 2020» (CdR 223/2010)</w:t>
            </w:r>
            <w:r w:rsidRPr="00A724FF">
              <w:rPr>
                <w:rFonts w:eastAsiaTheme="majorEastAsia"/>
                <w:sz w:val="24"/>
                <w:vertAlign w:val="superscript"/>
              </w:rPr>
              <w:t xml:space="preserve"> </w:t>
            </w:r>
            <w:r w:rsidRPr="00A724FF">
              <w:rPr>
                <w:rStyle w:val="FootnoteReference"/>
                <w:rFonts w:eastAsiaTheme="majorEastAsia"/>
              </w:rPr>
              <w:footnoteReference w:id="17"/>
            </w:r>
          </w:p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o «Sexto relatório sobre a coesão» (CdR 4896/2014)</w:t>
            </w:r>
            <w:r w:rsidRPr="00A724FF">
              <w:rPr>
                <w:rStyle w:val="FootnoteReference"/>
                <w:rFonts w:eastAsiaTheme="majorEastAsia"/>
              </w:rPr>
              <w:footnoteReference w:id="18"/>
            </w:r>
          </w:p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o «Desenvolvimento promovido pelas comunidades locais» (CdR 1684/2012)</w:t>
            </w:r>
            <w:r w:rsidRPr="00A724FF">
              <w:rPr>
                <w:rStyle w:val="FootnoteReference"/>
                <w:rFonts w:eastAsiaTheme="majorEastAsia"/>
              </w:rPr>
              <w:footnoteReference w:id="19"/>
            </w:r>
          </w:p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a «Avaliação do impacto territorial» (CdR 29/2013)</w:t>
            </w:r>
            <w:r w:rsidRPr="00A724FF">
              <w:rPr>
                <w:rStyle w:val="FootnoteReference"/>
                <w:rFonts w:eastAsiaTheme="majorEastAsia"/>
              </w:rPr>
              <w:footnoteReference w:id="20"/>
            </w:r>
          </w:p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o tema «Rumo a uma agenda urbana integrada na UE» (CdR 6902/2013)</w:t>
            </w:r>
            <w:r w:rsidRPr="00A724FF">
              <w:rPr>
                <w:rStyle w:val="FootnoteReference"/>
                <w:rFonts w:eastAsiaTheme="majorEastAsia"/>
              </w:rPr>
              <w:footnoteReference w:id="21"/>
            </w:r>
          </w:p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o «Pacote de mobilidade urbana» (CdR 90/2014)</w:t>
            </w:r>
            <w:r w:rsidRPr="00A724FF">
              <w:rPr>
                <w:rStyle w:val="FootnoteReference"/>
                <w:rFonts w:eastAsiaTheme="majorEastAsia"/>
              </w:rPr>
              <w:footnoteReference w:id="22"/>
            </w:r>
          </w:p>
          <w:p w:rsidR="00D40C91" w:rsidRPr="00A724FF" w:rsidRDefault="00D40C91" w:rsidP="009F1861">
            <w:pPr>
              <w:numPr>
                <w:ilvl w:val="0"/>
                <w:numId w:val="13"/>
              </w:numPr>
              <w:spacing w:line="240" w:lineRule="auto"/>
              <w:ind w:left="360"/>
            </w:pPr>
            <w:r w:rsidRPr="00A724FF">
              <w:t>Parecer sobre «A mobilidade em regiões que enfrentam dificuldades geográficas e demográficas» (CdR 1691/2014)</w:t>
            </w:r>
            <w:r w:rsidRPr="00A724FF">
              <w:rPr>
                <w:rStyle w:val="FootnoteReference"/>
                <w:rFonts w:eastAsiaTheme="majorEastAsia"/>
              </w:rPr>
              <w:footnoteReference w:id="23"/>
            </w:r>
          </w:p>
        </w:tc>
      </w:tr>
      <w:tr w:rsidR="00D40C91" w:rsidRPr="00A724FF" w:rsidTr="00D40C91"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  <w:rPr>
                <w:b/>
                <w:bCs/>
              </w:rPr>
            </w:pPr>
            <w:r w:rsidRPr="00A724FF">
              <w:rPr>
                <w:b/>
              </w:rPr>
              <w:t>Data da consulta da Rede de Observância da Subsidiariedade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40C91" w:rsidRPr="00A724FF" w:rsidRDefault="00D40C91" w:rsidP="009F1861">
            <w:pPr>
              <w:spacing w:line="240" w:lineRule="auto"/>
            </w:pPr>
            <w:r w:rsidRPr="00A724FF">
              <w:t>Não se aplica.</w:t>
            </w:r>
          </w:p>
        </w:tc>
      </w:tr>
    </w:tbl>
    <w:p w:rsidR="00444A98" w:rsidRPr="00A724FF" w:rsidRDefault="00444A98" w:rsidP="00730801">
      <w:pPr>
        <w:jc w:val="center"/>
      </w:pPr>
      <w:r w:rsidRPr="00A724FF">
        <w:t>_____________</w:t>
      </w:r>
    </w:p>
    <w:sectPr w:rsidR="00444A98" w:rsidRPr="00A724FF" w:rsidSect="00AA36B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1701" w:right="1440" w:bottom="1928" w:left="1440" w:header="1021" w:footer="12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98" w:rsidRDefault="00444A98">
      <w:r>
        <w:separator/>
      </w:r>
    </w:p>
  </w:endnote>
  <w:endnote w:type="continuationSeparator" w:id="0">
    <w:p w:rsidR="00444A98" w:rsidRDefault="0044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BA" w:rsidRPr="00AA36BA" w:rsidRDefault="00AA36BA" w:rsidP="00AA36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A98" w:rsidRPr="00AA36BA" w:rsidRDefault="00AA36BA" w:rsidP="00AA36BA">
    <w:pPr>
      <w:pStyle w:val="Footer"/>
    </w:pPr>
    <w:r>
      <w:t xml:space="preserve">COR-2015-00487-00-00-PAC-TRA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A724FF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= </w:instrText>
    </w:r>
    <w:r w:rsidR="00A724FF">
      <w:fldChar w:fldCharType="begin"/>
    </w:r>
    <w:r w:rsidR="00A724FF">
      <w:instrText xml:space="preserve"> NUMPAGES </w:instrText>
    </w:r>
    <w:r w:rsidR="00A724FF">
      <w:fldChar w:fldCharType="separate"/>
    </w:r>
    <w:r w:rsidR="00A724FF">
      <w:rPr>
        <w:noProof/>
      </w:rPr>
      <w:instrText>3</w:instrText>
    </w:r>
    <w:r w:rsidR="00A724FF">
      <w:rPr>
        <w:noProof/>
      </w:rPr>
      <w:fldChar w:fldCharType="end"/>
    </w:r>
    <w:r>
      <w:instrText xml:space="preserve"> -0 </w:instrText>
    </w:r>
    <w:r>
      <w:fldChar w:fldCharType="separate"/>
    </w:r>
    <w:r w:rsidR="00A724FF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BA" w:rsidRPr="00AA36BA" w:rsidRDefault="00AA36BA" w:rsidP="00AA36B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78" w:rsidRPr="00AA36BA" w:rsidRDefault="008F5F78" w:rsidP="00AA36B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78" w:rsidRPr="00AA36BA" w:rsidRDefault="00AA36BA" w:rsidP="00AA36BA">
    <w:pPr>
      <w:pStyle w:val="Footer"/>
    </w:pPr>
    <w:r>
      <w:t xml:space="preserve">COR-2015-00487-00-00-PAC-TRA (EN) </w:t>
    </w:r>
    <w:r>
      <w:fldChar w:fldCharType="begin"/>
    </w:r>
    <w:r>
      <w:instrText xml:space="preserve"> PAGE  \* Arabic  \* MERGEFORMAT </w:instrText>
    </w:r>
    <w:r>
      <w:fldChar w:fldCharType="separate"/>
    </w:r>
    <w:r w:rsidR="00A724FF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= </w:instrText>
    </w:r>
    <w:r w:rsidR="00A724FF">
      <w:fldChar w:fldCharType="begin"/>
    </w:r>
    <w:r w:rsidR="00A724FF">
      <w:instrText xml:space="preserve"> NUMPAGES </w:instrText>
    </w:r>
    <w:r w:rsidR="00A724FF">
      <w:fldChar w:fldCharType="separate"/>
    </w:r>
    <w:r w:rsidR="00A724FF">
      <w:rPr>
        <w:noProof/>
      </w:rPr>
      <w:instrText>2</w:instrText>
    </w:r>
    <w:r w:rsidR="00A724FF">
      <w:rPr>
        <w:noProof/>
      </w:rPr>
      <w:fldChar w:fldCharType="end"/>
    </w:r>
    <w:r>
      <w:instrText xml:space="preserve"> -0 </w:instrText>
    </w:r>
    <w:r>
      <w:fldChar w:fldCharType="separate"/>
    </w:r>
    <w:r w:rsidR="00A724FF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78" w:rsidRPr="00AA36BA" w:rsidRDefault="008F5F78" w:rsidP="00AA36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98" w:rsidRDefault="00444A98">
      <w:r>
        <w:separator/>
      </w:r>
    </w:p>
  </w:footnote>
  <w:footnote w:type="continuationSeparator" w:id="0">
    <w:p w:rsidR="00444A98" w:rsidRDefault="00444A98">
      <w:r>
        <w:continuationSeparator/>
      </w:r>
    </w:p>
  </w:footnote>
  <w:footnote w:id="1">
    <w:p w:rsidR="00AD67EC" w:rsidRPr="00AA36BA" w:rsidRDefault="00AD67EC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Agenda Territorial da União Europeia 2020. Para uma Europa inclusiva, inteligente e sustentável de regiões diversas.</w:t>
      </w:r>
    </w:p>
  </w:footnote>
  <w:footnote w:id="2">
    <w:p w:rsidR="00AD67EC" w:rsidRPr="00AA36BA" w:rsidRDefault="00AD67EC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Relatório Barca, p. 108.</w:t>
      </w:r>
    </w:p>
  </w:footnote>
  <w:footnote w:id="3">
    <w:p w:rsidR="00AD67EC" w:rsidRPr="00AA36BA" w:rsidRDefault="00AD67EC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 xml:space="preserve">«Making Europe Open and Polycentric» [Tornar a Europa aberta e policêntrica], in: </w:t>
      </w:r>
      <w:r w:rsidRPr="00AA36BA">
        <w:rPr>
          <w:i/>
        </w:rPr>
        <w:t>Scenarios and Vision for European Territory 2050</w:t>
      </w:r>
      <w:r w:rsidRPr="00AA36BA">
        <w:t>, ESPON.</w:t>
      </w:r>
    </w:p>
  </w:footnote>
  <w:footnote w:id="4">
    <w:p w:rsidR="00AD67EC" w:rsidRPr="00AA36BA" w:rsidRDefault="00AD67EC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CdR 2012/1683.</w:t>
      </w:r>
    </w:p>
  </w:footnote>
  <w:footnote w:id="5">
    <w:p w:rsidR="00AF2277" w:rsidRPr="00AA36BA" w:rsidRDefault="00AF2277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CoR 2014/4896</w:t>
      </w:r>
    </w:p>
  </w:footnote>
  <w:footnote w:id="6">
    <w:p w:rsidR="00452478" w:rsidRPr="00AA36BA" w:rsidRDefault="00452478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 xml:space="preserve">«Making Europe Open and Polycentric» [Tornar a Europa aberta e policêntrica], in: </w:t>
      </w:r>
      <w:r w:rsidRPr="00AA36BA">
        <w:rPr>
          <w:i/>
        </w:rPr>
        <w:t>Scenarios and Vision for European Territory 2050</w:t>
      </w:r>
      <w:r w:rsidRPr="00AA36BA">
        <w:t>, ESPON.</w:t>
      </w:r>
    </w:p>
  </w:footnote>
  <w:footnote w:id="7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 xml:space="preserve">«Making Europe Open and Polycentric» [Tornar a Europa aberta e policêntrica], in: </w:t>
      </w:r>
      <w:r w:rsidRPr="00AA36BA">
        <w:rPr>
          <w:i/>
        </w:rPr>
        <w:t>Scenarios and Vision for European Territory 2050</w:t>
      </w:r>
      <w:r w:rsidRPr="00AA36BA">
        <w:t>, ESPON.</w:t>
      </w:r>
    </w:p>
  </w:footnote>
  <w:footnote w:id="8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«How to strengthen the Territorial dimension of Europe 2020 and the EU cohesion Policy» [Como reforçar a dimensão territorial da Estratégia Europa 2020 e a política de coesão da UE].</w:t>
      </w:r>
    </w:p>
  </w:footnote>
  <w:footnote w:id="9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«How to strengthen the Territorial dimension of Europe 2020 and the EU cohesion Policy» [Como reforçar a dimensão territorial da Estratégia Europa 2020 e a política de coesão da UE].</w:t>
      </w:r>
    </w:p>
  </w:footnote>
  <w:footnote w:id="10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«Polycentric Territorial Development at EU, national and regional level» [Desenvolvimento territorial policêntrico a nível europeu, nacional e regional] — Debate em mesa-redonda no âmbito da reunião da Comissão COTER em Fabriano, 10 de julho de 2014.</w:t>
      </w:r>
    </w:p>
  </w:footnote>
  <w:footnote w:id="11">
    <w:p w:rsidR="00F25953" w:rsidRPr="00AA36BA" w:rsidRDefault="00F25953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Para recomendações específicas, ver o parecer do Comité das Regiões sobre «A mobilidade em regiões que enfrentam dificuldades geográficas e demográficas» (CdR 1691/2014).</w:t>
      </w:r>
    </w:p>
  </w:footnote>
  <w:footnote w:id="12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Agenda Territorial da União Europeia 2020. Para uma Europa inclusiva, inteligente e sustentável de regiões diversas.</w:t>
      </w:r>
    </w:p>
  </w:footnote>
  <w:footnote w:id="13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CdR 2014/2333.</w:t>
      </w:r>
    </w:p>
  </w:footnote>
  <w:footnote w:id="14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>Projeto para uma Estratégia Europa 2020 revista.</w:t>
      </w:r>
    </w:p>
  </w:footnote>
  <w:footnote w:id="15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 xml:space="preserve">«Making Europe Open and Polycentric» [Tornar a Europa aberta e policêntrica], in: </w:t>
      </w:r>
      <w:r w:rsidRPr="00AA36BA">
        <w:rPr>
          <w:i/>
        </w:rPr>
        <w:t>Scenarios and Vision for European Territory 2050</w:t>
      </w:r>
      <w:r w:rsidRPr="00AA36BA">
        <w:t>, ESPON.</w:t>
      </w:r>
    </w:p>
  </w:footnote>
  <w:footnote w:id="16">
    <w:p w:rsidR="004B4955" w:rsidRPr="00AA36BA" w:rsidRDefault="004B4955" w:rsidP="009F1861">
      <w:pPr>
        <w:pStyle w:val="FootnoteText"/>
      </w:pPr>
      <w:r w:rsidRPr="00AA36BA">
        <w:rPr>
          <w:rStyle w:val="FootnoteReference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  <w:t xml:space="preserve">«Making Europe Open and Polycentric» [Tornar a Europa aberta e policêntrica], in: </w:t>
      </w:r>
      <w:r w:rsidRPr="00AA36BA">
        <w:rPr>
          <w:i/>
        </w:rPr>
        <w:t>Scenarios and Vision for European Territory 2050</w:t>
      </w:r>
      <w:r w:rsidRPr="00AA36BA">
        <w:t>, ESPON.</w:t>
      </w:r>
    </w:p>
  </w:footnote>
  <w:footnote w:id="17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1">
        <w:r w:rsidRPr="00AA36BA">
          <w:rPr>
            <w:rStyle w:val="Hyperlink"/>
          </w:rPr>
          <w:t>JO C 15 de 18.1.2011, p. 10</w:t>
        </w:r>
      </w:hyperlink>
      <w:r w:rsidRPr="00AA36BA">
        <w:t>.</w:t>
      </w:r>
    </w:p>
  </w:footnote>
  <w:footnote w:id="18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2">
        <w:r w:rsidRPr="00AA36BA">
          <w:rPr>
            <w:rStyle w:val="Hyperlink"/>
            <w:rFonts w:eastAsiaTheme="majorEastAsia"/>
          </w:rPr>
          <w:t>JO C 19 de 21.1.2015</w:t>
        </w:r>
      </w:hyperlink>
      <w:r w:rsidRPr="00AA36BA">
        <w:rPr>
          <w:rFonts w:eastAsiaTheme="majorEastAsia"/>
          <w:color w:val="0000FF"/>
          <w:u w:val="single"/>
        </w:rPr>
        <w:t>.</w:t>
      </w:r>
    </w:p>
  </w:footnote>
  <w:footnote w:id="19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3">
        <w:r w:rsidRPr="00AA36BA">
          <w:rPr>
            <w:rStyle w:val="Hyperlink"/>
            <w:rFonts w:eastAsiaTheme="majorEastAsia"/>
          </w:rPr>
          <w:t>JO C 17 de 19.1.2013</w:t>
        </w:r>
      </w:hyperlink>
      <w:r w:rsidRPr="00AA36BA">
        <w:rPr>
          <w:rFonts w:eastAsiaTheme="majorEastAsia"/>
          <w:color w:val="0000FF"/>
          <w:u w:val="single"/>
        </w:rPr>
        <w:t>.</w:t>
      </w:r>
    </w:p>
  </w:footnote>
  <w:footnote w:id="20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4">
        <w:r w:rsidRPr="00AA36BA">
          <w:rPr>
            <w:rStyle w:val="Hyperlink"/>
            <w:rFonts w:eastAsiaTheme="majorEastAsia"/>
          </w:rPr>
          <w:t>JO C 280 de 27.9.2013</w:t>
        </w:r>
      </w:hyperlink>
      <w:r w:rsidRPr="00AA36BA">
        <w:rPr>
          <w:rFonts w:eastAsiaTheme="majorEastAsia"/>
          <w:color w:val="0000FF"/>
          <w:u w:val="single"/>
        </w:rPr>
        <w:t>.</w:t>
      </w:r>
    </w:p>
  </w:footnote>
  <w:footnote w:id="21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5">
        <w:r w:rsidRPr="00AA36BA">
          <w:rPr>
            <w:rStyle w:val="Hyperlink"/>
            <w:rFonts w:eastAsiaTheme="majorEastAsia"/>
          </w:rPr>
          <w:t>JO C 271 de 19.8.2014</w:t>
        </w:r>
      </w:hyperlink>
      <w:r w:rsidRPr="00AA36BA">
        <w:rPr>
          <w:rFonts w:eastAsiaTheme="majorEastAsia"/>
          <w:color w:val="0000FF"/>
          <w:u w:val="single"/>
        </w:rPr>
        <w:t>.</w:t>
      </w:r>
    </w:p>
  </w:footnote>
  <w:footnote w:id="22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6">
        <w:r w:rsidRPr="00AA36BA">
          <w:rPr>
            <w:rStyle w:val="Hyperlink"/>
            <w:rFonts w:eastAsiaTheme="majorEastAsia"/>
          </w:rPr>
          <w:t>JO C 271 de 19.8.2014</w:t>
        </w:r>
      </w:hyperlink>
      <w:r w:rsidRPr="00AA36BA">
        <w:rPr>
          <w:rFonts w:eastAsiaTheme="majorEastAsia"/>
          <w:color w:val="0000FF"/>
          <w:u w:val="single"/>
        </w:rPr>
        <w:t>.</w:t>
      </w:r>
    </w:p>
  </w:footnote>
  <w:footnote w:id="23">
    <w:p w:rsidR="00D40C91" w:rsidRPr="00AA36BA" w:rsidRDefault="00D40C91" w:rsidP="009F1861">
      <w:pPr>
        <w:pStyle w:val="FootnoteText"/>
      </w:pPr>
      <w:r w:rsidRPr="00AA36BA">
        <w:rPr>
          <w:rStyle w:val="FootnoteReference"/>
          <w:rFonts w:eastAsiaTheme="majorEastAsia"/>
        </w:rPr>
        <w:footnoteRef/>
      </w:r>
      <w:r w:rsidRPr="00AA36BA">
        <w:rPr>
          <w:rStyle w:val="FootnoteReference"/>
        </w:rPr>
        <w:t xml:space="preserve"> </w:t>
      </w:r>
      <w:r w:rsidRPr="00AA36BA">
        <w:tab/>
      </w:r>
      <w:hyperlink r:id="rId7">
        <w:r w:rsidRPr="00AA36BA">
          <w:rPr>
            <w:rStyle w:val="Hyperlink"/>
            <w:rFonts w:eastAsiaTheme="majorEastAsia"/>
          </w:rPr>
          <w:t>JO C 415 de 20.11.2014</w:t>
        </w:r>
      </w:hyperlink>
      <w:r w:rsidRPr="00AA36BA">
        <w:rPr>
          <w:rFonts w:eastAsiaTheme="majorEastAsia"/>
          <w:color w:val="0000FF"/>
          <w:u w:val="singl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BA" w:rsidRPr="00AA36BA" w:rsidRDefault="00AA36BA" w:rsidP="00AA36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BA" w:rsidRPr="00AA36BA" w:rsidRDefault="00AA36BA" w:rsidP="00AA36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6BA" w:rsidRPr="00AA36BA" w:rsidRDefault="00AA36BA" w:rsidP="00AA36B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78" w:rsidRPr="00AA36BA" w:rsidRDefault="008F5F78" w:rsidP="00AA36B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78" w:rsidRPr="00AA36BA" w:rsidRDefault="008F5F78" w:rsidP="00AA36B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F78" w:rsidRPr="00AA36BA" w:rsidRDefault="008F5F78" w:rsidP="00AA36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4B24F45"/>
    <w:multiLevelType w:val="hybridMultilevel"/>
    <w:tmpl w:val="B17A3D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4697D"/>
    <w:multiLevelType w:val="hybridMultilevel"/>
    <w:tmpl w:val="7576BDE0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0A7F"/>
    <w:multiLevelType w:val="hybridMultilevel"/>
    <w:tmpl w:val="B9D25A84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7B0160"/>
    <w:multiLevelType w:val="hybridMultilevel"/>
    <w:tmpl w:val="E9C829AE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7D78EF"/>
    <w:multiLevelType w:val="hybridMultilevel"/>
    <w:tmpl w:val="51AA6D0A"/>
    <w:lvl w:ilvl="0" w:tplc="23969108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9BDE0DC2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6D6FF8"/>
    <w:multiLevelType w:val="hybridMultilevel"/>
    <w:tmpl w:val="ABC66076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357B7A"/>
    <w:multiLevelType w:val="hybridMultilevel"/>
    <w:tmpl w:val="51AA6D0A"/>
    <w:lvl w:ilvl="0" w:tplc="8BFAA160">
      <w:start w:val="1"/>
      <w:numFmt w:val="bullet"/>
      <w:lvlRestart w:val="0"/>
      <w:lvlText w:val="-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9BDE0DC2">
      <w:start w:val="1"/>
      <w:numFmt w:val="bullet"/>
      <w:lvlRestart w:val="0"/>
      <w:lvlText w:val=""/>
      <w:lvlJc w:val="left"/>
      <w:pPr>
        <w:tabs>
          <w:tab w:val="num" w:pos="1080"/>
        </w:tabs>
        <w:ind w:left="1449" w:hanging="369"/>
      </w:pPr>
      <w:rPr>
        <w:rFonts w:ascii="Symbol" w:hAnsi="Symbol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227B42"/>
    <w:multiLevelType w:val="hybridMultilevel"/>
    <w:tmpl w:val="D7C6597E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65A12"/>
    <w:multiLevelType w:val="hybridMultilevel"/>
    <w:tmpl w:val="36164AD6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D91568"/>
    <w:multiLevelType w:val="hybridMultilevel"/>
    <w:tmpl w:val="F4DE7EBC"/>
    <w:lvl w:ilvl="0" w:tplc="9BDE0DC2">
      <w:start w:val="1"/>
      <w:numFmt w:val="bullet"/>
      <w:lvlRestart w:val="0"/>
      <w:lvlText w:val=""/>
      <w:lvlJc w:val="left"/>
      <w:pPr>
        <w:tabs>
          <w:tab w:val="num" w:pos="0"/>
        </w:tabs>
        <w:ind w:left="369" w:hanging="369"/>
      </w:pPr>
      <w:rPr>
        <w:rFonts w:ascii="Symbol" w:hAnsi="Symbol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94"/>
    <w:rsid w:val="000018E2"/>
    <w:rsid w:val="00020D7F"/>
    <w:rsid w:val="00045572"/>
    <w:rsid w:val="000516BE"/>
    <w:rsid w:val="000615B3"/>
    <w:rsid w:val="00067BA8"/>
    <w:rsid w:val="00076712"/>
    <w:rsid w:val="00083AE8"/>
    <w:rsid w:val="000B74D3"/>
    <w:rsid w:val="000C30ED"/>
    <w:rsid w:val="000C3BC1"/>
    <w:rsid w:val="000E370D"/>
    <w:rsid w:val="000E381A"/>
    <w:rsid w:val="00101FBB"/>
    <w:rsid w:val="00107D72"/>
    <w:rsid w:val="00110D0C"/>
    <w:rsid w:val="00112E32"/>
    <w:rsid w:val="00115EB6"/>
    <w:rsid w:val="0012190B"/>
    <w:rsid w:val="00150DBE"/>
    <w:rsid w:val="0015645B"/>
    <w:rsid w:val="001705AF"/>
    <w:rsid w:val="00174CD0"/>
    <w:rsid w:val="001A6AA3"/>
    <w:rsid w:val="001C66A9"/>
    <w:rsid w:val="001D3F05"/>
    <w:rsid w:val="001E3B06"/>
    <w:rsid w:val="001E5620"/>
    <w:rsid w:val="002033F5"/>
    <w:rsid w:val="002054D0"/>
    <w:rsid w:val="002220C2"/>
    <w:rsid w:val="002416E6"/>
    <w:rsid w:val="00254B94"/>
    <w:rsid w:val="00267204"/>
    <w:rsid w:val="0026767E"/>
    <w:rsid w:val="00293319"/>
    <w:rsid w:val="002A67BF"/>
    <w:rsid w:val="002B1E5E"/>
    <w:rsid w:val="002C3604"/>
    <w:rsid w:val="002D618D"/>
    <w:rsid w:val="002F03D6"/>
    <w:rsid w:val="0032070C"/>
    <w:rsid w:val="00322488"/>
    <w:rsid w:val="00322F1F"/>
    <w:rsid w:val="00334D96"/>
    <w:rsid w:val="003563A4"/>
    <w:rsid w:val="00360891"/>
    <w:rsid w:val="00361F92"/>
    <w:rsid w:val="003659BE"/>
    <w:rsid w:val="00367564"/>
    <w:rsid w:val="00383975"/>
    <w:rsid w:val="003B0723"/>
    <w:rsid w:val="003B1C77"/>
    <w:rsid w:val="003C0F98"/>
    <w:rsid w:val="003C2B6E"/>
    <w:rsid w:val="003D10B4"/>
    <w:rsid w:val="00406724"/>
    <w:rsid w:val="004336B4"/>
    <w:rsid w:val="00444A98"/>
    <w:rsid w:val="00452478"/>
    <w:rsid w:val="00454AD9"/>
    <w:rsid w:val="00464D79"/>
    <w:rsid w:val="00465D97"/>
    <w:rsid w:val="00475484"/>
    <w:rsid w:val="004A0C7C"/>
    <w:rsid w:val="004A41CF"/>
    <w:rsid w:val="004B2AFC"/>
    <w:rsid w:val="004B34B0"/>
    <w:rsid w:val="004B3B96"/>
    <w:rsid w:val="004B4955"/>
    <w:rsid w:val="004C76A7"/>
    <w:rsid w:val="004E605D"/>
    <w:rsid w:val="00550A2E"/>
    <w:rsid w:val="00575FC1"/>
    <w:rsid w:val="00590ECB"/>
    <w:rsid w:val="005A7F8D"/>
    <w:rsid w:val="005B2905"/>
    <w:rsid w:val="005C2473"/>
    <w:rsid w:val="005C4F1C"/>
    <w:rsid w:val="005D3056"/>
    <w:rsid w:val="005D31A6"/>
    <w:rsid w:val="005E58C7"/>
    <w:rsid w:val="005F18E7"/>
    <w:rsid w:val="005F63C7"/>
    <w:rsid w:val="006178E4"/>
    <w:rsid w:val="00620090"/>
    <w:rsid w:val="006311E4"/>
    <w:rsid w:val="00632140"/>
    <w:rsid w:val="006620E8"/>
    <w:rsid w:val="006739E3"/>
    <w:rsid w:val="0067638F"/>
    <w:rsid w:val="006819E6"/>
    <w:rsid w:val="006A0D2C"/>
    <w:rsid w:val="006A4A0A"/>
    <w:rsid w:val="006D0087"/>
    <w:rsid w:val="006D4EE9"/>
    <w:rsid w:val="00707761"/>
    <w:rsid w:val="00717935"/>
    <w:rsid w:val="00720994"/>
    <w:rsid w:val="00723124"/>
    <w:rsid w:val="00723C2D"/>
    <w:rsid w:val="00725AA6"/>
    <w:rsid w:val="00730801"/>
    <w:rsid w:val="0074575B"/>
    <w:rsid w:val="00753217"/>
    <w:rsid w:val="0075508D"/>
    <w:rsid w:val="00785511"/>
    <w:rsid w:val="00785967"/>
    <w:rsid w:val="007A237B"/>
    <w:rsid w:val="007A6D76"/>
    <w:rsid w:val="007B10B2"/>
    <w:rsid w:val="007B2E4D"/>
    <w:rsid w:val="007B549B"/>
    <w:rsid w:val="007C0C32"/>
    <w:rsid w:val="007F0079"/>
    <w:rsid w:val="007F5398"/>
    <w:rsid w:val="007F68C4"/>
    <w:rsid w:val="007F78F7"/>
    <w:rsid w:val="008059E3"/>
    <w:rsid w:val="00810512"/>
    <w:rsid w:val="00814EF3"/>
    <w:rsid w:val="008229B9"/>
    <w:rsid w:val="00837FA5"/>
    <w:rsid w:val="00842A12"/>
    <w:rsid w:val="00847E17"/>
    <w:rsid w:val="00853F27"/>
    <w:rsid w:val="00862998"/>
    <w:rsid w:val="00866F5C"/>
    <w:rsid w:val="008D3638"/>
    <w:rsid w:val="008D5CBC"/>
    <w:rsid w:val="008D5D65"/>
    <w:rsid w:val="008F5F78"/>
    <w:rsid w:val="009045A7"/>
    <w:rsid w:val="00913B7D"/>
    <w:rsid w:val="009352AE"/>
    <w:rsid w:val="009505C1"/>
    <w:rsid w:val="009F0B69"/>
    <w:rsid w:val="009F1861"/>
    <w:rsid w:val="009F7D37"/>
    <w:rsid w:val="00A012E5"/>
    <w:rsid w:val="00A0153E"/>
    <w:rsid w:val="00A016E3"/>
    <w:rsid w:val="00A25143"/>
    <w:rsid w:val="00A3493C"/>
    <w:rsid w:val="00A402C8"/>
    <w:rsid w:val="00A724FF"/>
    <w:rsid w:val="00A911A9"/>
    <w:rsid w:val="00A91F95"/>
    <w:rsid w:val="00AA36BA"/>
    <w:rsid w:val="00AA77B1"/>
    <w:rsid w:val="00AB0937"/>
    <w:rsid w:val="00AC5391"/>
    <w:rsid w:val="00AD67EC"/>
    <w:rsid w:val="00AE4401"/>
    <w:rsid w:val="00AF2277"/>
    <w:rsid w:val="00B00B4D"/>
    <w:rsid w:val="00B040A6"/>
    <w:rsid w:val="00B33430"/>
    <w:rsid w:val="00B41E44"/>
    <w:rsid w:val="00B6450B"/>
    <w:rsid w:val="00B65DB1"/>
    <w:rsid w:val="00BA1AF6"/>
    <w:rsid w:val="00BA3B5C"/>
    <w:rsid w:val="00BE061F"/>
    <w:rsid w:val="00BE3E20"/>
    <w:rsid w:val="00BF3C05"/>
    <w:rsid w:val="00BF5C5A"/>
    <w:rsid w:val="00BF7AE7"/>
    <w:rsid w:val="00C312E7"/>
    <w:rsid w:val="00C32D64"/>
    <w:rsid w:val="00C350BD"/>
    <w:rsid w:val="00C3552F"/>
    <w:rsid w:val="00C402B6"/>
    <w:rsid w:val="00C639CA"/>
    <w:rsid w:val="00C64F50"/>
    <w:rsid w:val="00C82639"/>
    <w:rsid w:val="00C95556"/>
    <w:rsid w:val="00CA2CB8"/>
    <w:rsid w:val="00CA6B49"/>
    <w:rsid w:val="00CB7BAE"/>
    <w:rsid w:val="00CD2673"/>
    <w:rsid w:val="00CE5929"/>
    <w:rsid w:val="00CF404E"/>
    <w:rsid w:val="00D10EB5"/>
    <w:rsid w:val="00D15577"/>
    <w:rsid w:val="00D26CF2"/>
    <w:rsid w:val="00D40C91"/>
    <w:rsid w:val="00D868F9"/>
    <w:rsid w:val="00D916ED"/>
    <w:rsid w:val="00DA0453"/>
    <w:rsid w:val="00DA085F"/>
    <w:rsid w:val="00DA3DEA"/>
    <w:rsid w:val="00DD3324"/>
    <w:rsid w:val="00DD66B3"/>
    <w:rsid w:val="00DE0A4B"/>
    <w:rsid w:val="00DE5160"/>
    <w:rsid w:val="00DE7D67"/>
    <w:rsid w:val="00DF129A"/>
    <w:rsid w:val="00DF5132"/>
    <w:rsid w:val="00DF5986"/>
    <w:rsid w:val="00DF7D46"/>
    <w:rsid w:val="00E02CEC"/>
    <w:rsid w:val="00E11AD2"/>
    <w:rsid w:val="00E27618"/>
    <w:rsid w:val="00E3061A"/>
    <w:rsid w:val="00E30D3A"/>
    <w:rsid w:val="00E52232"/>
    <w:rsid w:val="00E67837"/>
    <w:rsid w:val="00E83AE3"/>
    <w:rsid w:val="00E83E7B"/>
    <w:rsid w:val="00E91958"/>
    <w:rsid w:val="00EB3B52"/>
    <w:rsid w:val="00ED2F3F"/>
    <w:rsid w:val="00EE2B12"/>
    <w:rsid w:val="00EE7DCC"/>
    <w:rsid w:val="00F1270D"/>
    <w:rsid w:val="00F21BCC"/>
    <w:rsid w:val="00F25953"/>
    <w:rsid w:val="00F2752F"/>
    <w:rsid w:val="00F313C6"/>
    <w:rsid w:val="00F40F26"/>
    <w:rsid w:val="00F410EC"/>
    <w:rsid w:val="00F42EDA"/>
    <w:rsid w:val="00F45402"/>
    <w:rsid w:val="00F55286"/>
    <w:rsid w:val="00F56072"/>
    <w:rsid w:val="00F84BCE"/>
    <w:rsid w:val="00F85741"/>
    <w:rsid w:val="00F90F5A"/>
    <w:rsid w:val="00FA1EEE"/>
    <w:rsid w:val="00FB4B6A"/>
    <w:rsid w:val="00FD2903"/>
    <w:rsid w:val="00FE7B56"/>
    <w:rsid w:val="00FF53DC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6A7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76A7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4C76A7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C76A7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C76A7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C76A7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C76A7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C76A7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C76A7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C76A7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6A8"/>
    <w:rPr>
      <w:kern w:val="28"/>
      <w:sz w:val="22"/>
      <w:szCs w:val="22"/>
      <w:lang w:val="pt-PT" w:eastAsia="pt-PT" w:bidi="pt-PT"/>
    </w:rPr>
  </w:style>
  <w:style w:type="character" w:customStyle="1" w:styleId="Heading2Char">
    <w:name w:val="Heading 2 Char"/>
    <w:basedOn w:val="DefaultParagraphFont"/>
    <w:link w:val="Heading2"/>
    <w:rsid w:val="009D66A8"/>
    <w:rPr>
      <w:sz w:val="22"/>
      <w:szCs w:val="22"/>
      <w:lang w:val="pt-PT" w:eastAsia="pt-PT" w:bidi="pt-PT"/>
    </w:rPr>
  </w:style>
  <w:style w:type="character" w:customStyle="1" w:styleId="Heading3Char">
    <w:name w:val="Heading 3 Char"/>
    <w:basedOn w:val="DefaultParagraphFont"/>
    <w:link w:val="Heading3"/>
    <w:rsid w:val="009D66A8"/>
    <w:rPr>
      <w:sz w:val="22"/>
      <w:szCs w:val="22"/>
      <w:lang w:val="pt-PT" w:eastAsia="pt-PT" w:bidi="pt-PT"/>
    </w:rPr>
  </w:style>
  <w:style w:type="character" w:customStyle="1" w:styleId="Heading4Char">
    <w:name w:val="Heading 4 Char"/>
    <w:basedOn w:val="DefaultParagraphFont"/>
    <w:link w:val="Heading4"/>
    <w:rsid w:val="009D66A8"/>
    <w:rPr>
      <w:sz w:val="22"/>
      <w:szCs w:val="22"/>
      <w:lang w:val="pt-PT" w:eastAsia="pt-PT" w:bidi="pt-PT"/>
    </w:rPr>
  </w:style>
  <w:style w:type="character" w:customStyle="1" w:styleId="Heading5Char">
    <w:name w:val="Heading 5 Char"/>
    <w:basedOn w:val="DefaultParagraphFont"/>
    <w:link w:val="Heading5"/>
    <w:rsid w:val="009D66A8"/>
    <w:rPr>
      <w:sz w:val="22"/>
      <w:szCs w:val="22"/>
      <w:lang w:val="pt-PT" w:eastAsia="pt-PT" w:bidi="pt-PT"/>
    </w:rPr>
  </w:style>
  <w:style w:type="character" w:customStyle="1" w:styleId="Heading6Char">
    <w:name w:val="Heading 6 Char"/>
    <w:basedOn w:val="DefaultParagraphFont"/>
    <w:link w:val="Heading6"/>
    <w:rsid w:val="009D66A8"/>
    <w:rPr>
      <w:sz w:val="22"/>
      <w:szCs w:val="22"/>
      <w:lang w:val="pt-PT" w:eastAsia="pt-PT" w:bidi="pt-PT"/>
    </w:rPr>
  </w:style>
  <w:style w:type="character" w:customStyle="1" w:styleId="Heading7Char">
    <w:name w:val="Heading 7 Char"/>
    <w:basedOn w:val="DefaultParagraphFont"/>
    <w:link w:val="Heading7"/>
    <w:rsid w:val="009D66A8"/>
    <w:rPr>
      <w:sz w:val="22"/>
      <w:szCs w:val="22"/>
      <w:lang w:val="pt-PT" w:eastAsia="pt-PT" w:bidi="pt-PT"/>
    </w:rPr>
  </w:style>
  <w:style w:type="character" w:customStyle="1" w:styleId="Heading8Char">
    <w:name w:val="Heading 8 Char"/>
    <w:basedOn w:val="DefaultParagraphFont"/>
    <w:link w:val="Heading8"/>
    <w:rsid w:val="009D66A8"/>
    <w:rPr>
      <w:sz w:val="22"/>
      <w:szCs w:val="22"/>
      <w:lang w:val="pt-PT" w:eastAsia="pt-PT" w:bidi="pt-PT"/>
    </w:rPr>
  </w:style>
  <w:style w:type="character" w:customStyle="1" w:styleId="Heading9Char">
    <w:name w:val="Heading 9 Char"/>
    <w:basedOn w:val="DefaultParagraphFont"/>
    <w:link w:val="Heading9"/>
    <w:rsid w:val="009D66A8"/>
    <w:rPr>
      <w:sz w:val="22"/>
      <w:szCs w:val="22"/>
      <w:lang w:val="pt-PT" w:eastAsia="pt-PT" w:bidi="pt-PT"/>
    </w:rPr>
  </w:style>
  <w:style w:type="paragraph" w:styleId="Footer">
    <w:name w:val="footer"/>
    <w:basedOn w:val="Normal"/>
    <w:link w:val="FooterChar"/>
    <w:qFormat/>
    <w:rsid w:val="004C76A7"/>
  </w:style>
  <w:style w:type="character" w:customStyle="1" w:styleId="FooterChar">
    <w:name w:val="Footer Char"/>
    <w:basedOn w:val="DefaultParagraphFont"/>
    <w:link w:val="Footer"/>
    <w:rsid w:val="009D66A8"/>
    <w:rPr>
      <w:sz w:val="22"/>
      <w:szCs w:val="22"/>
      <w:lang w:val="pt-PT" w:eastAsia="pt-PT" w:bidi="pt-PT"/>
    </w:rPr>
  </w:style>
  <w:style w:type="paragraph" w:styleId="FootnoteText">
    <w:name w:val="footnote text"/>
    <w:basedOn w:val="Normal"/>
    <w:link w:val="FootnoteTextChar"/>
    <w:qFormat/>
    <w:rsid w:val="004C76A7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D66A8"/>
    <w:rPr>
      <w:sz w:val="16"/>
      <w:szCs w:val="22"/>
      <w:lang w:val="pt-PT" w:eastAsia="pt-PT" w:bidi="pt-PT"/>
    </w:rPr>
  </w:style>
  <w:style w:type="paragraph" w:styleId="Header">
    <w:name w:val="header"/>
    <w:basedOn w:val="Normal"/>
    <w:link w:val="HeaderChar"/>
    <w:qFormat/>
    <w:rsid w:val="004C76A7"/>
  </w:style>
  <w:style w:type="character" w:customStyle="1" w:styleId="HeaderChar">
    <w:name w:val="Header Char"/>
    <w:basedOn w:val="DefaultParagraphFont"/>
    <w:link w:val="Header"/>
    <w:rsid w:val="009D66A8"/>
    <w:rPr>
      <w:sz w:val="22"/>
      <w:szCs w:val="22"/>
      <w:lang w:val="pt-PT" w:eastAsia="pt-PT" w:bidi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4C76A7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customStyle="1" w:styleId="quotes">
    <w:name w:val="quotes"/>
    <w:basedOn w:val="Normal"/>
    <w:next w:val="Normal"/>
    <w:rsid w:val="004C76A7"/>
    <w:pPr>
      <w:ind w:left="720"/>
    </w:pPr>
    <w:rPr>
      <w:i/>
    </w:rPr>
  </w:style>
  <w:style w:type="paragraph" w:styleId="BalloonText">
    <w:name w:val="Balloon Text"/>
    <w:basedOn w:val="Normal"/>
    <w:link w:val="BalloonTextChar"/>
    <w:rsid w:val="00AA3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pt-PT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6A7"/>
    <w:pPr>
      <w:spacing w:line="288" w:lineRule="auto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76A7"/>
    <w:pPr>
      <w:numPr>
        <w:numId w:val="1"/>
      </w:numPr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4C76A7"/>
    <w:pPr>
      <w:numPr>
        <w:ilvl w:val="1"/>
        <w:numId w:val="1"/>
      </w:numPr>
      <w:ind w:left="720" w:hanging="72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C76A7"/>
    <w:pPr>
      <w:numPr>
        <w:ilvl w:val="2"/>
        <w:numId w:val="1"/>
      </w:numPr>
      <w:ind w:left="720" w:hanging="72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4C76A7"/>
    <w:pPr>
      <w:numPr>
        <w:ilvl w:val="3"/>
        <w:numId w:val="1"/>
      </w:numPr>
      <w:ind w:left="720" w:hanging="72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4C76A7"/>
    <w:pPr>
      <w:numPr>
        <w:ilvl w:val="4"/>
        <w:numId w:val="1"/>
      </w:numPr>
      <w:ind w:left="720" w:hanging="72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C76A7"/>
    <w:pPr>
      <w:numPr>
        <w:ilvl w:val="5"/>
        <w:numId w:val="1"/>
      </w:numPr>
      <w:ind w:left="720" w:hanging="72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C76A7"/>
    <w:pPr>
      <w:numPr>
        <w:ilvl w:val="6"/>
        <w:numId w:val="1"/>
      </w:numPr>
      <w:ind w:left="720" w:hanging="72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4C76A7"/>
    <w:pPr>
      <w:numPr>
        <w:ilvl w:val="7"/>
        <w:numId w:val="1"/>
      </w:numPr>
      <w:ind w:left="720" w:hanging="720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4C76A7"/>
    <w:pPr>
      <w:numPr>
        <w:ilvl w:val="8"/>
        <w:numId w:val="1"/>
      </w:num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66A8"/>
    <w:rPr>
      <w:kern w:val="28"/>
      <w:sz w:val="22"/>
      <w:szCs w:val="22"/>
      <w:lang w:val="pt-PT" w:eastAsia="pt-PT" w:bidi="pt-PT"/>
    </w:rPr>
  </w:style>
  <w:style w:type="character" w:customStyle="1" w:styleId="Heading2Char">
    <w:name w:val="Heading 2 Char"/>
    <w:basedOn w:val="DefaultParagraphFont"/>
    <w:link w:val="Heading2"/>
    <w:rsid w:val="009D66A8"/>
    <w:rPr>
      <w:sz w:val="22"/>
      <w:szCs w:val="22"/>
      <w:lang w:val="pt-PT" w:eastAsia="pt-PT" w:bidi="pt-PT"/>
    </w:rPr>
  </w:style>
  <w:style w:type="character" w:customStyle="1" w:styleId="Heading3Char">
    <w:name w:val="Heading 3 Char"/>
    <w:basedOn w:val="DefaultParagraphFont"/>
    <w:link w:val="Heading3"/>
    <w:rsid w:val="009D66A8"/>
    <w:rPr>
      <w:sz w:val="22"/>
      <w:szCs w:val="22"/>
      <w:lang w:val="pt-PT" w:eastAsia="pt-PT" w:bidi="pt-PT"/>
    </w:rPr>
  </w:style>
  <w:style w:type="character" w:customStyle="1" w:styleId="Heading4Char">
    <w:name w:val="Heading 4 Char"/>
    <w:basedOn w:val="DefaultParagraphFont"/>
    <w:link w:val="Heading4"/>
    <w:rsid w:val="009D66A8"/>
    <w:rPr>
      <w:sz w:val="22"/>
      <w:szCs w:val="22"/>
      <w:lang w:val="pt-PT" w:eastAsia="pt-PT" w:bidi="pt-PT"/>
    </w:rPr>
  </w:style>
  <w:style w:type="character" w:customStyle="1" w:styleId="Heading5Char">
    <w:name w:val="Heading 5 Char"/>
    <w:basedOn w:val="DefaultParagraphFont"/>
    <w:link w:val="Heading5"/>
    <w:rsid w:val="009D66A8"/>
    <w:rPr>
      <w:sz w:val="22"/>
      <w:szCs w:val="22"/>
      <w:lang w:val="pt-PT" w:eastAsia="pt-PT" w:bidi="pt-PT"/>
    </w:rPr>
  </w:style>
  <w:style w:type="character" w:customStyle="1" w:styleId="Heading6Char">
    <w:name w:val="Heading 6 Char"/>
    <w:basedOn w:val="DefaultParagraphFont"/>
    <w:link w:val="Heading6"/>
    <w:rsid w:val="009D66A8"/>
    <w:rPr>
      <w:sz w:val="22"/>
      <w:szCs w:val="22"/>
      <w:lang w:val="pt-PT" w:eastAsia="pt-PT" w:bidi="pt-PT"/>
    </w:rPr>
  </w:style>
  <w:style w:type="character" w:customStyle="1" w:styleId="Heading7Char">
    <w:name w:val="Heading 7 Char"/>
    <w:basedOn w:val="DefaultParagraphFont"/>
    <w:link w:val="Heading7"/>
    <w:rsid w:val="009D66A8"/>
    <w:rPr>
      <w:sz w:val="22"/>
      <w:szCs w:val="22"/>
      <w:lang w:val="pt-PT" w:eastAsia="pt-PT" w:bidi="pt-PT"/>
    </w:rPr>
  </w:style>
  <w:style w:type="character" w:customStyle="1" w:styleId="Heading8Char">
    <w:name w:val="Heading 8 Char"/>
    <w:basedOn w:val="DefaultParagraphFont"/>
    <w:link w:val="Heading8"/>
    <w:rsid w:val="009D66A8"/>
    <w:rPr>
      <w:sz w:val="22"/>
      <w:szCs w:val="22"/>
      <w:lang w:val="pt-PT" w:eastAsia="pt-PT" w:bidi="pt-PT"/>
    </w:rPr>
  </w:style>
  <w:style w:type="character" w:customStyle="1" w:styleId="Heading9Char">
    <w:name w:val="Heading 9 Char"/>
    <w:basedOn w:val="DefaultParagraphFont"/>
    <w:link w:val="Heading9"/>
    <w:rsid w:val="009D66A8"/>
    <w:rPr>
      <w:sz w:val="22"/>
      <w:szCs w:val="22"/>
      <w:lang w:val="pt-PT" w:eastAsia="pt-PT" w:bidi="pt-PT"/>
    </w:rPr>
  </w:style>
  <w:style w:type="paragraph" w:styleId="Footer">
    <w:name w:val="footer"/>
    <w:basedOn w:val="Normal"/>
    <w:link w:val="FooterChar"/>
    <w:qFormat/>
    <w:rsid w:val="004C76A7"/>
  </w:style>
  <w:style w:type="character" w:customStyle="1" w:styleId="FooterChar">
    <w:name w:val="Footer Char"/>
    <w:basedOn w:val="DefaultParagraphFont"/>
    <w:link w:val="Footer"/>
    <w:rsid w:val="009D66A8"/>
    <w:rPr>
      <w:sz w:val="22"/>
      <w:szCs w:val="22"/>
      <w:lang w:val="pt-PT" w:eastAsia="pt-PT" w:bidi="pt-PT"/>
    </w:rPr>
  </w:style>
  <w:style w:type="paragraph" w:styleId="FootnoteText">
    <w:name w:val="footnote text"/>
    <w:basedOn w:val="Normal"/>
    <w:link w:val="FootnoteTextChar"/>
    <w:qFormat/>
    <w:rsid w:val="004C76A7"/>
    <w:pPr>
      <w:keepLines/>
      <w:spacing w:after="60" w:line="240" w:lineRule="auto"/>
      <w:ind w:left="720" w:hanging="7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9D66A8"/>
    <w:rPr>
      <w:sz w:val="16"/>
      <w:szCs w:val="22"/>
      <w:lang w:val="pt-PT" w:eastAsia="pt-PT" w:bidi="pt-PT"/>
    </w:rPr>
  </w:style>
  <w:style w:type="paragraph" w:styleId="Header">
    <w:name w:val="header"/>
    <w:basedOn w:val="Normal"/>
    <w:link w:val="HeaderChar"/>
    <w:qFormat/>
    <w:rsid w:val="004C76A7"/>
  </w:style>
  <w:style w:type="character" w:customStyle="1" w:styleId="HeaderChar">
    <w:name w:val="Header Char"/>
    <w:basedOn w:val="DefaultParagraphFont"/>
    <w:link w:val="Header"/>
    <w:rsid w:val="009D66A8"/>
    <w:rPr>
      <w:sz w:val="22"/>
      <w:szCs w:val="22"/>
      <w:lang w:val="pt-PT" w:eastAsia="pt-PT" w:bidi="pt-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4C76A7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customStyle="1" w:styleId="quotes">
    <w:name w:val="quotes"/>
    <w:basedOn w:val="Normal"/>
    <w:next w:val="Normal"/>
    <w:rsid w:val="004C76A7"/>
    <w:pPr>
      <w:ind w:left="720"/>
    </w:pPr>
    <w:rPr>
      <w:i/>
    </w:rPr>
  </w:style>
  <w:style w:type="paragraph" w:styleId="BalloonText">
    <w:name w:val="Balloon Text"/>
    <w:basedOn w:val="Normal"/>
    <w:link w:val="BalloonTextChar"/>
    <w:rsid w:val="00AA3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cor.europa.eu/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://cor.europa.eu/members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eader" Target="header5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cor.europa.eu/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-lex.europa.eu/LexUriServ/LexUriServ.do?uri=OJ:C:2013:017:SOM:PT:HTML" TargetMode="External"/><Relationship Id="rId7" Type="http://schemas.openxmlformats.org/officeDocument/2006/relationships/hyperlink" Target="http://eur-lex.europa.eu/LexUriServ/LexUriServ.do?uri=OJ:C:2014:415:SOM:PT:HTML" TargetMode="External"/><Relationship Id="rId2" Type="http://schemas.openxmlformats.org/officeDocument/2006/relationships/hyperlink" Target="http://eur-lex.europa.eu/LexUriServ/LexUriServ.do?uri=OJ:C:2015:019:SOM:PT:HTML" TargetMode="External"/><Relationship Id="rId1" Type="http://schemas.openxmlformats.org/officeDocument/2006/relationships/hyperlink" Target="http://eur-lex.europa.eu/LexUriServ/LexUriServ.do?uri=OJ:C:2011:015:SOM:PT:HTML" TargetMode="External"/><Relationship Id="rId6" Type="http://schemas.openxmlformats.org/officeDocument/2006/relationships/hyperlink" Target="http://eur-lex.europa.eu/LexUriServ/LexUriServ.do?uri=OJ:C:2014:271:SOM:PT:HTML" TargetMode="External"/><Relationship Id="rId5" Type="http://schemas.openxmlformats.org/officeDocument/2006/relationships/hyperlink" Target="http://eur-lex.europa.eu/LexUriServ/LexUriServ.do?uri=OJ:C:2014:271:SOM:PT:HTML" TargetMode="External"/><Relationship Id="rId4" Type="http://schemas.openxmlformats.org/officeDocument/2006/relationships/hyperlink" Target="http://eur-lex.europa.eu/LexUriServ/LexUriServ.do?uri=OJ:C:2013:280:SOM:PT: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2010\Templates\Global\Styl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d70e30-93ef-45b4-8939-ee55f442fbe8">32DPXCYX3S74-3-4331</_dlc_DocId>
    <_dlc_DocIdUrl xmlns="bed70e30-93ef-45b4-8939-ee55f442fbe8">
      <Url>http://dm/cor/2015/_layouts/DocIdRedir.aspx?ID=32DPXCYX3S74-3-4331</Url>
      <Description>32DPXCYX3S74-3-4331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</TermName>
          <TermId xmlns="http://schemas.microsoft.com/office/infopath/2007/PartnerControls">719e5324-e7b4-48f6-9bbb-a2f1f3496a94</TermId>
        </TermInfo>
      </Terms>
    </DocumentType_0>
    <Procedure xmlns="bed70e30-93ef-45b4-8939-ee55f442fbe8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COTER-VI</TermName>
          <TermId xmlns="http://schemas.microsoft.com/office/infopath/2007/PartnerControls">83557551-cb0a-4a30-8de1-bd4ab4e4cffd</TermId>
        </TermInfo>
      </Terms>
    </DossierName_0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</TermName>
          <TermId xmlns="http://schemas.microsoft.com/office/infopath/2007/PartnerControls">cb2d75ef-4a7d-4393-b797-49ed6298a5ea</TermId>
        </TermInfo>
      </Terms>
    </DocumentSource_0>
    <ProductionDate xmlns="bed70e30-93ef-45b4-8939-ee55f442fbe8">2015-03-09T12:00:00+00:00</ProductionDate>
    <DocumentNumber xmlns="407efc20-1a18-4c9f-9d52-6362dd09269d">487</DocumentNumber>
    <FicheYear xmlns="bed70e30-93ef-45b4-8939-ee55f442fbe8">2015</FicheYear>
    <DocumentVersion xmlns="bed70e30-93ef-45b4-8939-ee55f442fbe8">0</DocumentVersion>
    <DossierNumber xmlns="bed70e30-93ef-45b4-8939-ee55f442fbe8">2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</Terms>
    </DocumentLanguage_0>
    <TaxCatchAll xmlns="bed70e30-93ef-45b4-8939-ee55f442fbe8">
      <Value>41</Value>
      <Value>63</Value>
      <Value>35</Value>
      <Value>34</Value>
      <Value>33</Value>
      <Value>32</Value>
      <Value>31</Value>
      <Value>30</Value>
      <Value>29</Value>
      <Value>75</Value>
      <Value>27</Value>
      <Value>26</Value>
      <Value>25</Value>
      <Value>24</Value>
      <Value>23</Value>
      <Value>22</Value>
      <Value>21</Value>
      <Value>20</Value>
      <Value>19</Value>
      <Value>18</Value>
      <Value>17</Value>
      <Value>16</Value>
      <Value>15</Value>
      <Value>10</Value>
      <Value>56</Value>
      <Value>7</Value>
      <Value>5</Value>
      <Value>4</Value>
      <Value>2</Value>
      <Value>1</Value>
    </TaxCatchAll>
    <MeetingDate xmlns="bed70e30-93ef-45b4-8939-ee55f442fbe8">2015-04-16T12:00:00+00:00</MeetingDate>
    <Rapporteur xmlns="bed70e30-93ef-45b4-8939-ee55f442fbe8">WOŹNIAK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bed70e30-93ef-45b4-8939-ee55f442fbe8">2015</DocumentYear>
    <FicheNumber xmlns="bed70e30-93ef-45b4-8939-ee55f442fbe8">1470</FicheNumber>
    <AdoptionDate xmlns="bed70e30-93ef-45b4-8939-ee55f442fbe8" xsi:nil="true"/>
    <DocumentPart xmlns="bed70e30-93ef-45b4-8939-ee55f442fbe8">0</DocumentPart>
    <Meeting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SPL-CDR</TermName>
          <TermId xmlns="http://schemas.microsoft.com/office/infopath/2007/PartnerControls">8f822234-72c1-4721-9e21-9e3c2bc35462</TermId>
        </TermInfo>
      </Terms>
    </MeetingName_0>
    <RequestingService xmlns="bed70e30-93ef-45b4-8939-ee55f442fbe8">Commission COTER et budget UE</RequestingService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</TermName>
          <TermId xmlns="http://schemas.microsoft.com/office/infopath/2007/PartnerControls">150d2a88-1431-44e6-a8ca-0bb753ab8672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LV</TermName>
          <TermId xmlns="http://schemas.microsoft.com/office/infopath/2007/PartnerControls">46f7e311-5d9f-4663-b433-18aeccb7ace7</TermId>
        </TermInfo>
        <TermInfo xmlns="http://schemas.microsoft.com/office/infopath/2007/PartnerControls">
          <TermName xmlns="http://schemas.microsoft.com/office/infopath/2007/PartnerControls">SK</TermName>
          <TermId xmlns="http://schemas.microsoft.com/office/infopath/2007/PartnerControls">46d9fce0-ef79-4f71-b89b-cd6aa82426b8</TermId>
        </TermInfo>
        <TermInfo xmlns="http://schemas.microsoft.com/office/infopath/2007/PartnerControls">
          <TermName xmlns="http://schemas.microsoft.com/office/infopath/2007/PartnerControls">SV</TermName>
          <TermId xmlns="http://schemas.microsoft.com/office/infopath/2007/PartnerControls">c2ed69e7-a339-43d7-8f22-d93680a92aa0</TermId>
        </TermInfo>
        <TermInfo xmlns="http://schemas.microsoft.com/office/infopath/2007/PartnerControls">
          <TermName xmlns="http://schemas.microsoft.com/office/infopath/2007/PartnerControls">FI</TermName>
          <TermId xmlns="http://schemas.microsoft.com/office/infopath/2007/PartnerControls">87606a43-d45f-42d6-b8c9-e1a3457db5b7</TermId>
        </TermInfo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  <TermInfo xmlns="http://schemas.microsoft.com/office/infopath/2007/PartnerControls">
          <TermName xmlns="http://schemas.microsoft.com/office/infopath/2007/PartnerControls">BG</TermName>
          <TermId xmlns="http://schemas.microsoft.com/office/infopath/2007/PartnerControls">1a1b3951-7821-4e6a-85f5-5673fc08bd2c</TermId>
        </TermInfo>
        <TermInfo xmlns="http://schemas.microsoft.com/office/infopath/2007/PartnerControls">
          <TermName xmlns="http://schemas.microsoft.com/office/infopath/2007/PartnerControls">HU</TermName>
          <TermId xmlns="http://schemas.microsoft.com/office/infopath/2007/PartnerControls">6b229040-c589-4408-b4c1-4285663d20a8</TermId>
        </TermInfo>
        <TermInfo xmlns="http://schemas.microsoft.com/office/infopath/2007/PartnerControls">
          <TermName xmlns="http://schemas.microsoft.com/office/infopath/2007/PartnerControls">FR</TermName>
          <TermId xmlns="http://schemas.microsoft.com/office/infopath/2007/PartnerControls">d2afafd3-4c81-4f60-8f52-ee33f2f54ff3</TermId>
        </TermInfo>
        <TermInfo xmlns="http://schemas.microsoft.com/office/infopath/2007/PartnerControls">
          <TermName xmlns="http://schemas.microsoft.com/office/infopath/2007/PartnerControls">PL</TermName>
          <TermId xmlns="http://schemas.microsoft.com/office/infopath/2007/PartnerControls">1e03da61-4678-4e07-b136-b5024ca9197b</TermId>
        </TermInfo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feb747a2-64cd-4299-af12-4833ddc30497</TermId>
        </TermInfo>
        <TermInfo xmlns="http://schemas.microsoft.com/office/infopath/2007/PartnerControls">
          <TermName xmlns="http://schemas.microsoft.com/office/infopath/2007/PartnerControls">LT</TermName>
          <TermId xmlns="http://schemas.microsoft.com/office/infopath/2007/PartnerControls">a7ff5ce7-6123-4f68-865a-a57c31810414</TermId>
        </TermInfo>
        <TermInfo xmlns="http://schemas.microsoft.com/office/infopath/2007/PartnerControls">
          <TermName xmlns="http://schemas.microsoft.com/office/infopath/2007/PartnerControls">DA</TermName>
          <TermId xmlns="http://schemas.microsoft.com/office/infopath/2007/PartnerControls">5d49c027-8956-412b-aa16-e85a0f96ad0e</TermId>
        </TermInfo>
        <TermInfo xmlns="http://schemas.microsoft.com/office/infopath/2007/PartnerControls">
          <TermName xmlns="http://schemas.microsoft.com/office/infopath/2007/PartnerControls">ET</TermName>
          <TermId xmlns="http://schemas.microsoft.com/office/infopath/2007/PartnerControls">ff6c3f4c-b02c-4c3c-ab07-2c37995a7a0a</TermId>
        </TermInfo>
        <TermInfo xmlns="http://schemas.microsoft.com/office/infopath/2007/PartnerControls">
          <TermName xmlns="http://schemas.microsoft.com/office/infopath/2007/PartnerControls">EL</TermName>
          <TermId xmlns="http://schemas.microsoft.com/office/infopath/2007/PartnerControls">6d4f4d51-af9b-4650-94b4-4276bee85c91</TermId>
        </TermInfo>
        <TermInfo xmlns="http://schemas.microsoft.com/office/infopath/2007/PartnerControls">
          <TermName xmlns="http://schemas.microsoft.com/office/infopath/2007/PartnerControls">MT</TermName>
          <TermId xmlns="http://schemas.microsoft.com/office/infopath/2007/PartnerControls">7df99101-6854-4a26-b53a-b88c0da02c26</TermId>
        </TermInfo>
        <TermInfo xmlns="http://schemas.microsoft.com/office/infopath/2007/PartnerControls">
          <TermName xmlns="http://schemas.microsoft.com/office/infopath/2007/PartnerControls">PT</TermName>
          <TermId xmlns="http://schemas.microsoft.com/office/infopath/2007/PartnerControls">50ccc04a-eadd-42ae-a0cb-acaf45f812ba</TermId>
        </TermInfo>
        <TermInfo xmlns="http://schemas.microsoft.com/office/infopath/2007/PartnerControls">
          <TermName xmlns="http://schemas.microsoft.com/office/infopath/2007/PartnerControls">ES</TermName>
          <TermId xmlns="http://schemas.microsoft.com/office/infopath/2007/PartnerControls">e7a6b05b-ae16-40c8-add9-68b64b03aeba</TermId>
        </TermInfo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f6b31e5a-26fa-4935-b661-318e46daf27e</TermId>
        </TermInfo>
        <TermInfo xmlns="http://schemas.microsoft.com/office/infopath/2007/PartnerControls">
          <TermName xmlns="http://schemas.microsoft.com/office/infopath/2007/PartnerControls">CS</TermName>
          <TermId xmlns="http://schemas.microsoft.com/office/infopath/2007/PartnerControls">72f9705b-0217-4fd3-bea2-cbc7ed80e26e</TermId>
        </TermInfo>
        <TermInfo xmlns="http://schemas.microsoft.com/office/infopath/2007/PartnerControls">
          <TermName xmlns="http://schemas.microsoft.com/office/infopath/2007/PartnerControls">NL</TermName>
          <TermId xmlns="http://schemas.microsoft.com/office/infopath/2007/PartnerControls">55c6556c-b4f4-441d-9acf-c498d4f838bd</TermId>
        </TermInfo>
        <TermInfo xmlns="http://schemas.microsoft.com/office/infopath/2007/PartnerControls">
          <TermName xmlns="http://schemas.microsoft.com/office/infopath/2007/PartnerControls">SL</TermName>
          <TermId xmlns="http://schemas.microsoft.com/office/infopath/2007/PartnerControls">98a412ae-eb01-49e9-ae3d-585a81724cfc</TermId>
        </TermInfo>
        <TermInfo xmlns="http://schemas.microsoft.com/office/infopath/2007/PartnerControls">
          <TermName xmlns="http://schemas.microsoft.com/office/infopath/2007/PartnerControls">IT</TermName>
          <TermId xmlns="http://schemas.microsoft.com/office/infopath/2007/PartnerControls">0774613c-01ed-4e5d-a25d-11d2388de825</TermId>
        </TermInfo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2f555653-ed1a-4fe6-8362-9082d95989e5</TermId>
        </TermInfo>
      </Terms>
    </AvailableTranslations_0>
    <MeetingNumber xmlns="407efc20-1a18-4c9f-9d52-6362dd09269d">111</MeetingNumber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969D08719EC79D448347E7FF0E7F06AB" ma:contentTypeVersion="7" ma:contentTypeDescription="Defines the documents for Document Manager V2" ma:contentTypeScope="" ma:versionID="0b5637e835d8c29614d8e355ef6984c3">
  <xsd:schema xmlns:xsd="http://www.w3.org/2001/XMLSchema" xmlns:xs="http://www.w3.org/2001/XMLSchema" xmlns:p="http://schemas.microsoft.com/office/2006/metadata/properties" xmlns:ns2="bed70e30-93ef-45b4-8939-ee55f442fbe8" xmlns:ns3="http://schemas.microsoft.com/sharepoint/v3/fields" xmlns:ns4="407efc20-1a18-4c9f-9d52-6362dd09269d" targetNamespace="http://schemas.microsoft.com/office/2006/metadata/properties" ma:root="true" ma:fieldsID="2ff6cbb7cee453b13b70b6a922c84498" ns2:_="" ns3:_="" ns4:_="">
    <xsd:import namespace="bed70e30-93ef-45b4-8939-ee55f442fbe8"/>
    <xsd:import namespace="http://schemas.microsoft.com/sharepoint/v3/fields"/>
    <xsd:import namespace="407efc20-1a18-4c9f-9d52-6362dd0926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3:DocumentLanguage_0" minOccurs="0"/>
                <xsd:element ref="ns2:Rapporteur" minOccurs="0"/>
                <xsd:element ref="ns2:RequestingService" minOccurs="0"/>
                <xsd:element ref="ns4:DocumentNumber" minOccurs="0"/>
                <xsd:element ref="ns2:AdoptionDate" minOccurs="0"/>
                <xsd:element ref="ns2:DossierNumber" minOccurs="0"/>
                <xsd:element ref="ns3:Confidentiality_0" minOccurs="0"/>
                <xsd:element ref="ns2:TaxCatchAll" minOccurs="0"/>
                <xsd:element ref="ns2:TaxCatchAllLabel" minOccurs="0"/>
                <xsd:element ref="ns2:FicheNumber" minOccurs="0"/>
                <xsd:element ref="ns2:Procedure" minOccurs="0"/>
                <xsd:element ref="ns2:DocumentPart" minOccurs="0"/>
                <xsd:element ref="ns3:DossierName_0" minOccurs="0"/>
                <xsd:element ref="ns3:DocumentType_0" minOccurs="0"/>
                <xsd:element ref="ns3:DocumentStatus_0" minOccurs="0"/>
                <xsd:element ref="ns3:AvailableTranslations_0" minOccurs="0"/>
                <xsd:element ref="ns2:FicheYear" minOccurs="0"/>
                <xsd:element ref="ns3:MeetingName_0" minOccurs="0"/>
                <xsd:element ref="ns3:DocumentSource_0" minOccurs="0"/>
                <xsd:element ref="ns3:OriginalLanguage_0" minOccurs="0"/>
                <xsd:element ref="ns2:DocumentYear"/>
                <xsd:element ref="ns2:MeetingDate" minOccurs="0"/>
                <xsd:element ref="ns4:MeetingNumber" minOccurs="0"/>
                <xsd:element ref="ns2:DocumentVersion" minOccurs="0"/>
                <xsd:element ref="ns3:VersionStatus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70e30-93ef-45b4-8939-ee55f442fbe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Rapporteur" ma:index="14" nillable="true" ma:displayName="Rapporteur" ma:internalName="Rapporteur" ma:readOnly="false">
      <xsd:simpleType>
        <xsd:restriction base="dms:Text"/>
      </xsd:simpleType>
    </xsd:element>
    <xsd:element name="RequestingService" ma:index="15" nillable="true" ma:displayName="Requesting Service" ma:internalName="RequestingService" ma:readOnly="false">
      <xsd:simpleType>
        <xsd:restriction base="dms:Text"/>
      </xsd:simpleType>
    </xsd:element>
    <xsd:element name="AdoptionDate" ma:index="17" nillable="true" ma:displayName="Adoption Date" ma:format="DateOnly" ma:internalName="AdoptionDate" ma:readOnly="false">
      <xsd:simpleType>
        <xsd:restriction base="dms:DateTime"/>
      </xsd:simpleType>
    </xsd:element>
    <xsd:element name="DossierNumber" ma:index="18" nillable="true" ma:displayName="Dossier Number" ma:decimals="0" ma:internalName="DossierNumber" ma:readOnly="false">
      <xsd:simpleType>
        <xsd:restriction base="dms:Unknown"/>
      </xsd:simpleType>
    </xsd:element>
    <xsd:element name="TaxCatchAll" ma:index="20" nillable="true" ma:displayName="Taxonomy Catch All Column" ma:hidden="true" ma:list="{6d94abe9-dbc9-423a-838f-6dc472c12929}" ma:internalName="TaxCatchAll" ma:showField="CatchAllData" ma:web="bed70e30-93ef-45b4-8939-ee55f442f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6d94abe9-dbc9-423a-838f-6dc472c12929}" ma:internalName="TaxCatchAllLabel" ma:readOnly="true" ma:showField="CatchAllDataLabel" ma:web="bed70e30-93ef-45b4-8939-ee55f442f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cheNumber" ma:index="23" nillable="true" ma:displayName="Fiche Number" ma:decimals="0" ma:internalName="FicheNumber" ma:readOnly="false">
      <xsd:simpleType>
        <xsd:restriction base="dms:Unknown"/>
      </xsd:simpleType>
    </xsd:element>
    <xsd:element name="Procedure" ma:index="24" nillable="true" ma:displayName="Procedure" ma:internalName="Procedure" ma:readOnly="false">
      <xsd:simpleType>
        <xsd:restriction base="dms:Text"/>
      </xsd:simpleType>
    </xsd:element>
    <xsd:element name="DocumentPart" ma:index="25" nillable="true" ma:displayName="Document Part" ma:decimals="0" ma:internalName="DocumentPart" ma:readOnly="false">
      <xsd:simpleType>
        <xsd:restriction base="dms:Unknown"/>
      </xsd:simpleType>
    </xsd:element>
    <xsd:element name="FicheYear" ma:index="34" nillable="true" ma:displayName="Fiche Year" ma:decimals="0" ma:internalName="FicheYear" ma:readOnly="false">
      <xsd:simpleType>
        <xsd:restriction base="dms:Unknown"/>
      </xsd:simpleType>
    </xsd:element>
    <xsd:element name="DocumentYear" ma:index="41" ma:displayName="Document Year" ma:decimals="0" ma:internalName="DocumentYear" ma:readOnly="false">
      <xsd:simpleType>
        <xsd:restriction base="dms:Unknown"/>
      </xsd:simpleType>
    </xsd:element>
    <xsd:element name="MeetingDate" ma:index="42" nillable="true" ma:displayName="Meeting Date" ma:format="DateOnly" ma:internalName="MeetingDate" ma:readOnly="false">
      <xsd:simpleType>
        <xsd:restriction base="dms:DateTime"/>
      </xsd:simpleType>
    </xsd:element>
    <xsd:element name="DocumentVersion" ma:index="44" nillable="true" ma:displayName="Document Version" ma:decimals="0" ma:internalName="DocumentVersion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3" nillable="true" ma:taxonomy="true" ma:internalName="DocumentLanguage_0" ma:taxonomyFieldName="DocumentLanguage" ma:displayName="Document Language" ma:fieldId="{ee5c55ab-e8dd-441f-8840-fdce66906fe3}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readOnly="false" ma:fieldId="{ee5c4bfe-2b62-4831-9131-22edf8f3665c}" ma:sspId="5eb6ff32-25da-4603-a073-4ef4c01e5f0e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26" nillable="true" ma:taxonomy="true" ma:internalName="DossierName_0" ma:taxonomyFieldName="DossierName" ma:displayName="Dossier Name" ma:readOnly="false" ma:fieldId="{ee5cf7da-503b-4593-8db2-4f0e09c901fd}" ma:sspId="5eb6ff32-25da-4603-a073-4ef4c01e5f0e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28" nillable="true" ma:taxonomy="true" ma:internalName="DocumentType_0" ma:taxonomyFieldName="DocumentType" ma:displayName="Document Type" ma:indexed="true" ma:readOnly="false" ma:fieldId="{ee5cf431-2d10-41e6-bd88-1b6bd5b84f5f}" ma:sspId="5eb6ff32-25da-4603-a073-4ef4c01e5f0e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0" nillable="true" ma:taxonomy="true" ma:internalName="DocumentStatus_0" ma:taxonomyFieldName="DocumentStatus" ma:displayName="Document Status" ma:readOnly="false" ma:fieldId="{ee5cab93-ac4d-4e2f-b298-e5342324388c}" ma:sspId="5eb6ff32-25da-4603-a073-4ef4c01e5f0e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32" nillable="true" ma:taxonomy="true" ma:internalName="AvailableTranslations_0" ma:taxonomyFieldName="AvailableTranslations" ma:displayName="Available Translations" ma:readOnly="false" ma:fieldId="{ee5c7c01-1a65-4138-aa64-80e01e34d799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5" nillable="true" ma:taxonomy="true" ma:internalName="MeetingName_0" ma:taxonomyFieldName="MeetingName" ma:displayName="Meeting Name" ma:indexed="true" ma:readOnly="false" ma:fieldId="{ee5c9b55-8403-4f9e-a156-b6ce5b7b9456}" ma:sspId="5eb6ff32-25da-4603-a073-4ef4c01e5f0e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37" ma:taxonomy="true" ma:internalName="DocumentSource_0" ma:taxonomyFieldName="DocumentSource" ma:displayName="Document Source" ma:readOnly="false" ma:fieldId="{ee5c1c29-f257-4aae-8e5e-529c0040e17a}" ma:sspId="5eb6ff32-25da-4603-a073-4ef4c01e5f0e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39" nillable="true" ma:taxonomy="true" ma:internalName="OriginalLanguage_0" ma:taxonomyFieldName="OriginalLanguage" ma:displayName="Original Language" ma:readOnly="false" ma:fieldId="{ee5ce750-ff6c-4875-8192-ef11fb51efba}" ma:taxonomyMulti="true" ma:sspId="5eb6ff32-25da-4603-a073-4ef4c01e5f0e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45" ma:taxonomy="true" ma:internalName="VersionStatus_0" ma:taxonomyFieldName="VersionStatus" ma:displayName="Version Status" ma:indexed="true" ma:readOnly="false" ma:fieldId="{ee5cb94b-3df1-4df3-b49b-6e47ce2a7e87}" ma:sspId="5eb6ff32-25da-4603-a073-4ef4c01e5f0e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efc20-1a18-4c9f-9d52-6362dd09269d" elementFormDefault="qualified">
    <xsd:import namespace="http://schemas.microsoft.com/office/2006/documentManagement/types"/>
    <xsd:import namespace="http://schemas.microsoft.com/office/infopath/2007/PartnerControls"/>
    <xsd:element name="DocumentNumber" ma:index="16" nillable="true" ma:displayName="Document Number" ma:decimals="0" ma:indexed="true" ma:internalName="DocumentNumber" ma:readOnly="false">
      <xsd:simpleType>
        <xsd:restriction base="dms:Unknown"/>
      </xsd:simpleType>
    </xsd:element>
    <xsd:element name="MeetingNumber" ma:index="43" nillable="true" ma:displayName="Meeting Number" ma:decimals="0" ma:indexed="true" ma:internalName="MeetingNumb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D815-EDF2-4313-99AF-9D156A423795}"/>
</file>

<file path=customXml/itemProps2.xml><?xml version="1.0" encoding="utf-8"?>
<ds:datastoreItem xmlns:ds="http://schemas.openxmlformats.org/officeDocument/2006/customXml" ds:itemID="{49CED368-457D-4468-9FBA-39F06348D677}"/>
</file>

<file path=customXml/itemProps3.xml><?xml version="1.0" encoding="utf-8"?>
<ds:datastoreItem xmlns:ds="http://schemas.openxmlformats.org/officeDocument/2006/customXml" ds:itemID="{9EF51E98-B868-4F6F-8223-3CB9D9E70486}"/>
</file>

<file path=customXml/itemProps4.xml><?xml version="1.0" encoding="utf-8"?>
<ds:datastoreItem xmlns:ds="http://schemas.openxmlformats.org/officeDocument/2006/customXml" ds:itemID="{FBED851E-C9D2-4093-9E38-205C4F90BD52}"/>
</file>

<file path=customXml/itemProps5.xml><?xml version="1.0" encoding="utf-8"?>
<ds:datastoreItem xmlns:ds="http://schemas.openxmlformats.org/officeDocument/2006/customXml" ds:itemID="{4FCE87DA-F54C-4CF1-B7F2-61A3E0595EBA}"/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3</Pages>
  <Words>3341</Words>
  <Characters>18845</Characters>
  <Application>Microsoft Office Word</Application>
  <DocSecurity>0</DocSecurity>
  <Lines>409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improvement of the implementation of the Territorial Agenda of the European Union 2020</vt:lpstr>
    </vt:vector>
  </TitlesOfParts>
  <Company>CESE-CdR</Company>
  <LinksUpToDate>false</LinksUpToDate>
  <CharactersWithSpaces>22063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Melhorar a implementação da Agenda Territorial da União Europeia 2020</dc:title>
  <dc:subject>Projecto de parecer do Comité</dc:subject>
  <dc:creator/>
  <cp:keywords>COR-2015-00487-00-00-PAC-TRA-PT</cp:keywords>
  <dc:description>Relator: -_x000d_
Língua original: EN_x000d_
Data do documento: 09/03/2015_x000d_
Data da reunião: 16/04/2015_x000d_
Documentos externos: -_x000d_
Funcionário responsável: Comuniello Gianluca, telefone: + 2 282 2191_x000d_
_x000d_
Síntese:</dc:description>
  <cp:lastModifiedBy>Maria Jose Rodrigues</cp:lastModifiedBy>
  <cp:revision>9</cp:revision>
  <cp:lastPrinted>2015-03-03T13:15:00Z</cp:lastPrinted>
  <dcterms:created xsi:type="dcterms:W3CDTF">2015-03-04T13:39:00Z</dcterms:created>
  <dcterms:modified xsi:type="dcterms:W3CDTF">2015-03-09T09:31:00Z</dcterms:modified>
  <cp:category>COTER-VI/002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vent date">
    <vt:lpwstr/>
  </property>
  <property fmtid="{D5CDD505-2E9C-101B-9397-08002B2CF9AE}" pid="3" name="Year">
    <vt:lpwstr/>
  </property>
  <property fmtid="{D5CDD505-2E9C-101B-9397-08002B2CF9AE}" pid="4" name="Domain New">
    <vt:lpwstr>IT tools related documents</vt:lpwstr>
  </property>
  <property fmtid="{D5CDD505-2E9C-101B-9397-08002B2CF9AE}" pid="5" name="Subdomain New">
    <vt:lpwstr>Ariane</vt:lpwstr>
  </property>
  <property fmtid="{D5CDD505-2E9C-101B-9397-08002B2CF9AE}" pid="6" name="Pref_formatted">
    <vt:bool>true</vt:bool>
  </property>
  <property fmtid="{D5CDD505-2E9C-101B-9397-08002B2CF9AE}" pid="7" name="Pref_Date">
    <vt:lpwstr>04/03/2015, 04/03/2015, 04/02/2015</vt:lpwstr>
  </property>
  <property fmtid="{D5CDD505-2E9C-101B-9397-08002B2CF9AE}" pid="8" name="Pref_Time">
    <vt:lpwstr>13/55/02, 12/35/18, 12:58:43</vt:lpwstr>
  </property>
  <property fmtid="{D5CDD505-2E9C-101B-9397-08002B2CF9AE}" pid="9" name="Pref_User">
    <vt:lpwstr>mkop, ssex, mkop</vt:lpwstr>
  </property>
  <property fmtid="{D5CDD505-2E9C-101B-9397-08002B2CF9AE}" pid="10" name="Pref_FileName">
    <vt:lpwstr>COR-2015-00487-00-00-PAC-TRA-EN-CRR.docx, COR-2015-00487-00-00-PAC-ORI.docx, COR-2015-00487-00-00-PA-TRA-PL-CRR.docx</vt:lpwstr>
  </property>
  <property fmtid="{D5CDD505-2E9C-101B-9397-08002B2CF9AE}" pid="11" name="StyleCheckSum">
    <vt:lpwstr>45307_C22417_P257_L54</vt:lpwstr>
  </property>
  <property fmtid="{D5CDD505-2E9C-101B-9397-08002B2CF9AE}" pid="12" name="ContentTypeId">
    <vt:lpwstr>0x010100EA97B91038054C99906057A708A1480A00969D08719EC79D448347E7FF0E7F06AB</vt:lpwstr>
  </property>
  <property fmtid="{D5CDD505-2E9C-101B-9397-08002B2CF9AE}" pid="13" name="_dlc_DocIdItemGuid">
    <vt:lpwstr>89b4b5cc-e111-4d2b-868e-a2bd5fe6f896</vt:lpwstr>
  </property>
  <property fmtid="{D5CDD505-2E9C-101B-9397-08002B2CF9AE}" pid="14" name="AvailableTranslations">
    <vt:lpwstr>32;#LV|46f7e311-5d9f-4663-b433-18aeccb7ace7;#29;#SK|46d9fce0-ef79-4f71-b89b-cd6aa82426b8;#17;#SV|c2ed69e7-a339-43d7-8f22-d93680a92aa0;#27;#FI|87606a43-d45f-42d6-b8c9-e1a3457db5b7;#10;#EN|f2175f21-25d7-44a3-96da-d6a61b075e1b;#23;#BG|1a1b3951-7821-4e6a-85f5-5673fc08bd2c;#35;#HU|6b229040-c589-4408-b4c1-4285663d20a8;#7;#FR|d2afafd3-4c81-4f60-8f52-ee33f2f54ff3;#16;#PL|1e03da61-4678-4e07-b136-b5024ca9197b;#24;#RO|feb747a2-64cd-4299-af12-4833ddc30497;#34;#LT|a7ff5ce7-6123-4f68-865a-a57c31810414;#22;#DA|5d49c027-8956-412b-aa16-e85a0f96ad0e;#30;#ET|ff6c3f4c-b02c-4c3c-ab07-2c37995a7a0a;#19;#EL|6d4f4d51-af9b-4650-94b4-4276bee85c91;#33;#MT|7df99101-6854-4a26-b53a-b88c0da02c26;#18;#PT|50ccc04a-eadd-42ae-a0cb-acaf45f812ba;#20;#ES|e7a6b05b-ae16-40c8-add9-68b64b03aeba;#4;#DE|f6b31e5a-26fa-4935-b661-318e46daf27e;#25;#CS|72f9705b-0217-4fd3-bea2-cbc7ed80e26e;#26;#NL|55c6556c-b4f4-441d-9acf-c498d4f838bd;#21;#SL|98a412ae-eb01-49e9-ae3d-585a81724cfc;#15;#IT|0774613c-01ed-4e5d-a25d-11d2388de825;#31;#HR|2f555653-ed1a-4fe6-8362-9082d95989e5</vt:lpwstr>
  </property>
  <property fmtid="{D5CDD505-2E9C-101B-9397-08002B2CF9AE}" pid="15" name="DossierName">
    <vt:lpwstr>56;#COTER-VI|83557551-cb0a-4a30-8de1-bd4ab4e4cffd</vt:lpwstr>
  </property>
  <property fmtid="{D5CDD505-2E9C-101B-9397-08002B2CF9AE}" pid="16" name="DocumentStatus">
    <vt:lpwstr>2;#TRA|150d2a88-1431-44e6-a8ca-0bb753ab8672</vt:lpwstr>
  </property>
  <property fmtid="{D5CDD505-2E9C-101B-9397-08002B2CF9AE}" pid="17" name="Confidentiality">
    <vt:lpwstr>5;#Unrestricted|826e22d7-d029-4ec0-a450-0c28ff673572</vt:lpwstr>
  </property>
  <property fmtid="{D5CDD505-2E9C-101B-9397-08002B2CF9AE}" pid="18" name="OriginalLanguage">
    <vt:lpwstr>10;#EN|f2175f21-25d7-44a3-96da-d6a61b075e1b</vt:lpwstr>
  </property>
  <property fmtid="{D5CDD505-2E9C-101B-9397-08002B2CF9AE}" pid="19" name="MeetingName">
    <vt:lpwstr>41;#SPL-CDR|8f822234-72c1-4721-9e21-9e3c2bc35462</vt:lpwstr>
  </property>
  <property fmtid="{D5CDD505-2E9C-101B-9397-08002B2CF9AE}" pid="20" name="DocumentSource">
    <vt:lpwstr>1;#CoR|cb2d75ef-4a7d-4393-b797-49ed6298a5ea</vt:lpwstr>
  </property>
  <property fmtid="{D5CDD505-2E9C-101B-9397-08002B2CF9AE}" pid="21" name="DocumentType">
    <vt:lpwstr>75;#PAC|719e5324-e7b4-48f6-9bbb-a2f1f3496a94</vt:lpwstr>
  </property>
  <property fmtid="{D5CDD505-2E9C-101B-9397-08002B2CF9AE}" pid="22" name="DocumentLanguage">
    <vt:lpwstr>18;#PT|50ccc04a-eadd-42ae-a0cb-acaf45f812ba</vt:lpwstr>
  </property>
  <property fmtid="{D5CDD505-2E9C-101B-9397-08002B2CF9AE}" pid="23" name="DocumentType_0">
    <vt:lpwstr>PA|ef6fd07e-7d84-45ad-8a75-9a9414a8759c</vt:lpwstr>
  </property>
  <property fmtid="{D5CDD505-2E9C-101B-9397-08002B2CF9AE}" pid="24" name="DossierName_0">
    <vt:lpwstr>COTER-VI|83557551-cb0a-4a30-8de1-bd4ab4e4cffd</vt:lpwstr>
  </property>
  <property fmtid="{D5CDD505-2E9C-101B-9397-08002B2CF9AE}" pid="25" name="DocumentSource_0">
    <vt:lpwstr>CoR|cb2d75ef-4a7d-4393-b797-49ed6298a5ea</vt:lpwstr>
  </property>
  <property fmtid="{D5CDD505-2E9C-101B-9397-08002B2CF9AE}" pid="26" name="Confidentiality_0">
    <vt:lpwstr>Unrestricted|826e22d7-d029-4ec0-a450-0c28ff673572</vt:lpwstr>
  </property>
  <property fmtid="{D5CDD505-2E9C-101B-9397-08002B2CF9AE}" pid="27" name="MeetingName_0">
    <vt:lpwstr>COTER-VI|3552edab-c1b7-4b35-80b1-c9e901d8cd86</vt:lpwstr>
  </property>
  <property fmtid="{D5CDD505-2E9C-101B-9397-08002B2CF9AE}" pid="28" name="DocumentStatus_0">
    <vt:lpwstr>TRA|150d2a88-1431-44e6-a8ca-0bb753ab8672</vt:lpwstr>
  </property>
  <property fmtid="{D5CDD505-2E9C-101B-9397-08002B2CF9AE}" pid="29" name="OriginalLanguage_0">
    <vt:lpwstr>EN|f2175f21-25d7-44a3-96da-d6a61b075e1b;PL|1e03da61-4678-4e07-b136-b5024ca9197b</vt:lpwstr>
  </property>
  <property fmtid="{D5CDD505-2E9C-101B-9397-08002B2CF9AE}" pid="30" name="DocumentLanguage_0">
    <vt:lpwstr>EN|f2175f21-25d7-44a3-96da-d6a61b075e1b</vt:lpwstr>
  </property>
  <property fmtid="{D5CDD505-2E9C-101B-9397-08002B2CF9AE}" pid="31" name="TaxCatchAll">
    <vt:lpwstr>22;#DA|5d49c027-8956-412b-aa16;#21;#SL|98a412ae-eb01-49e9-ae3d-585a81724cfc;#43;#COTER-VI|3552edab-c1b7-4b35-80b1-c9e901d8cd86;#33;#MT|7df99101-6854-4a26-b53a-b88c0da02c26;#18;#PT|50ccc04a-eadd-42ae-a0cb-acaf45f812ba;#16;#PL|1e03da61-4678-4e07-b136-b5024ca9197b;#56;#COTER-VI|83557551-cb0a-4a30-8de1-bd4ab4e4cffd;#35;#HU|6b229040-c589-4408-b4c1-4285663d20a8;#10;#EN|f2175f21-25d7-44a3-96da-d6a61b075e1b;#5;#Unrestricted|826e22d7-d029-4ec0-a450-0c28ff673572;#51;#PA|ef6fd07e-7d84-45ad-8a75-9a9414a8759c;#25;#CS|72f9705b-0217-4fd3-bea2-cbc7ed80e26e;#2;#TRA|150d2a88-1431-44e6-a8ca-0bb753ab8672;#1;#CoR|cb2d75ef-4a7d-4393-b797-49ed6298a5ea</vt:lpwstr>
  </property>
  <property fmtid="{D5CDD505-2E9C-101B-9397-08002B2CF9AE}" pid="32" name="AvailableTranslations_0">
    <vt:lpwstr>PT|50ccc04a-eadd-42ae-a0cb-acaf45f812ba;HU|6b229040-c589-4408-b4c1-4285663d20a8;CS|72f9705b-0217-4fd3-bea2-cbc7ed80e26e;SL|98a412ae-eb01-49e9-ae3d-585a81724cfc;MT|7df99101-6854-4a26-b53a-b88c0da02c26;DA|5d49c027-8956-412b-aa16</vt:lpwstr>
  </property>
  <property fmtid="{D5CDD505-2E9C-101B-9397-08002B2CF9AE}" pid="33" name="VersionStatus">
    <vt:lpwstr>63;#Final|ea5e6674-7b27-4bac-b091-73adbb394efe</vt:lpwstr>
  </property>
</Properties>
</file>